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sz w:val="48"/>
          <w:szCs w:val="48"/>
        </w:rPr>
      </w:pPr>
    </w:p>
    <w:p>
      <w:pPr>
        <w:spacing w:line="480" w:lineRule="auto"/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  <w:lang w:eastAsia="zh-CN"/>
        </w:rPr>
        <w:t>江苏海迅理昂新能源电力有限公司海安理昂生物质发电</w:t>
      </w:r>
      <w:r>
        <w:rPr>
          <w:rFonts w:hint="eastAsia"/>
          <w:b/>
          <w:sz w:val="48"/>
          <w:szCs w:val="48"/>
          <w:lang w:val="en-US" w:eastAsia="zh-CN"/>
        </w:rPr>
        <w:t>2*75t/h次高温次高压循环流化床锅炉配套2*15MW抽凝式汽轮机发电机组</w:t>
      </w:r>
    </w:p>
    <w:p>
      <w:pPr>
        <w:spacing w:line="480" w:lineRule="auto"/>
        <w:jc w:val="center"/>
        <w:rPr>
          <w:rFonts w:hint="eastAsia"/>
          <w:b/>
          <w:sz w:val="48"/>
          <w:szCs w:val="48"/>
        </w:rPr>
      </w:pPr>
    </w:p>
    <w:p>
      <w:pPr>
        <w:spacing w:line="480" w:lineRule="auto"/>
        <w:jc w:val="center"/>
        <w:rPr>
          <w:rFonts w:hint="eastAsia"/>
          <w:b/>
          <w:sz w:val="48"/>
          <w:szCs w:val="48"/>
        </w:rPr>
      </w:pPr>
    </w:p>
    <w:p>
      <w:pPr>
        <w:spacing w:line="480" w:lineRule="auto"/>
        <w:jc w:val="center"/>
        <w:rPr>
          <w:rFonts w:hint="eastAsia"/>
          <w:b/>
          <w:sz w:val="48"/>
          <w:szCs w:val="48"/>
        </w:rPr>
      </w:pPr>
    </w:p>
    <w:p>
      <w:pPr>
        <w:spacing w:line="480" w:lineRule="auto"/>
        <w:jc w:val="center"/>
        <w:rPr>
          <w:rFonts w:hint="eastAsia"/>
          <w:b/>
          <w:sz w:val="48"/>
          <w:szCs w:val="48"/>
        </w:rPr>
      </w:pPr>
    </w:p>
    <w:p>
      <w:pPr>
        <w:spacing w:line="480" w:lineRule="auto"/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“三同时”执行情况汇报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48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项目名称：</w:t>
      </w:r>
      <w:r>
        <w:rPr>
          <w:rFonts w:hint="eastAsia"/>
          <w:sz w:val="36"/>
          <w:szCs w:val="36"/>
          <w:lang w:eastAsia="zh-CN"/>
        </w:rPr>
        <w:t>海安</w:t>
      </w:r>
      <w:r>
        <w:rPr>
          <w:rFonts w:hint="eastAsia"/>
          <w:sz w:val="36"/>
          <w:szCs w:val="36"/>
        </w:rPr>
        <w:t>理昂生物质发电</w:t>
      </w:r>
      <w:r>
        <w:rPr>
          <w:sz w:val="36"/>
          <w:szCs w:val="36"/>
        </w:rPr>
        <w:t>建设项目</w:t>
      </w:r>
    </w:p>
    <w:p>
      <w:pPr>
        <w:spacing w:line="48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 xml:space="preserve">    </w:t>
      </w:r>
      <w:r>
        <w:rPr>
          <w:sz w:val="36"/>
          <w:szCs w:val="36"/>
        </w:rPr>
        <w:t>建设单位：</w:t>
      </w:r>
      <w:r>
        <w:rPr>
          <w:rFonts w:hint="eastAsia"/>
          <w:sz w:val="36"/>
          <w:szCs w:val="36"/>
          <w:lang w:eastAsia="zh-CN"/>
        </w:rPr>
        <w:t>江苏海迅理昂新能源电力有限公司</w:t>
      </w:r>
    </w:p>
    <w:p>
      <w:pPr>
        <w:spacing w:line="480" w:lineRule="auto"/>
        <w:ind w:firstLine="900" w:firstLineChars="250"/>
        <w:rPr>
          <w:sz w:val="36"/>
          <w:szCs w:val="36"/>
        </w:rPr>
      </w:pPr>
      <w:r>
        <w:rPr>
          <w:rFonts w:hint="eastAsia"/>
          <w:sz w:val="36"/>
          <w:szCs w:val="36"/>
        </w:rPr>
        <w:t>编制日期：二〇一八</w:t>
      </w:r>
      <w:r>
        <w:rPr>
          <w:sz w:val="36"/>
          <w:szCs w:val="36"/>
        </w:rPr>
        <w:t>年</w:t>
      </w:r>
      <w:r>
        <w:rPr>
          <w:rFonts w:hint="eastAsia"/>
          <w:sz w:val="36"/>
          <w:szCs w:val="36"/>
          <w:lang w:eastAsia="zh-CN"/>
        </w:rPr>
        <w:t>三</w:t>
      </w:r>
      <w:r>
        <w:rPr>
          <w:sz w:val="36"/>
          <w:szCs w:val="36"/>
        </w:rPr>
        <w:t>月</w:t>
      </w:r>
    </w:p>
    <w:p>
      <w:pPr>
        <w:spacing w:line="480" w:lineRule="auto"/>
        <w:jc w:val="center"/>
        <w:rPr>
          <w:rFonts w:hint="eastAsia"/>
          <w:sz w:val="36"/>
          <w:szCs w:val="36"/>
        </w:rPr>
      </w:pPr>
    </w:p>
    <w:p>
      <w:pPr>
        <w:spacing w:line="480" w:lineRule="auto"/>
        <w:jc w:val="center"/>
        <w:rPr>
          <w:rFonts w:hint="eastAsia"/>
          <w:sz w:val="36"/>
          <w:szCs w:val="36"/>
        </w:rPr>
      </w:pPr>
    </w:p>
    <w:p>
      <w:pPr>
        <w:spacing w:line="480" w:lineRule="auto"/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目  录</w:t>
      </w:r>
    </w:p>
    <w:p>
      <w:pPr>
        <w:spacing w:line="480" w:lineRule="auto"/>
        <w:jc w:val="center"/>
        <w:rPr>
          <w:rFonts w:hint="eastAsia"/>
          <w:b/>
          <w:sz w:val="52"/>
          <w:szCs w:val="52"/>
        </w:rPr>
      </w:pPr>
    </w:p>
    <w:p>
      <w:pPr>
        <w:pStyle w:val="9"/>
        <w:numPr>
          <w:ilvl w:val="0"/>
          <w:numId w:val="1"/>
        </w:numPr>
        <w:spacing w:line="480" w:lineRule="auto"/>
        <w:ind w:firstLineChars="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建设项目基本情况</w:t>
      </w:r>
    </w:p>
    <w:p>
      <w:pPr>
        <w:pStyle w:val="9"/>
        <w:numPr>
          <w:ilvl w:val="0"/>
          <w:numId w:val="1"/>
        </w:numPr>
        <w:spacing w:line="480" w:lineRule="auto"/>
        <w:ind w:firstLineChars="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污染防治措施“三同时”执行情况</w:t>
      </w:r>
    </w:p>
    <w:p>
      <w:pPr>
        <w:pStyle w:val="9"/>
        <w:numPr>
          <w:ilvl w:val="0"/>
          <w:numId w:val="2"/>
        </w:numPr>
        <w:spacing w:line="480" w:lineRule="auto"/>
        <w:ind w:firstLineChars="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大气污染的防治</w:t>
      </w:r>
    </w:p>
    <w:p>
      <w:pPr>
        <w:pStyle w:val="9"/>
        <w:numPr>
          <w:ilvl w:val="0"/>
          <w:numId w:val="2"/>
        </w:numPr>
        <w:spacing w:line="480" w:lineRule="auto"/>
        <w:ind w:firstLineChars="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水污染防治措施</w:t>
      </w:r>
    </w:p>
    <w:p>
      <w:pPr>
        <w:pStyle w:val="9"/>
        <w:numPr>
          <w:ilvl w:val="0"/>
          <w:numId w:val="2"/>
        </w:numPr>
        <w:spacing w:line="480" w:lineRule="auto"/>
        <w:ind w:firstLineChars="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固废污染防治</w:t>
      </w:r>
    </w:p>
    <w:p>
      <w:pPr>
        <w:pStyle w:val="9"/>
        <w:numPr>
          <w:ilvl w:val="0"/>
          <w:numId w:val="2"/>
        </w:numPr>
        <w:spacing w:line="480" w:lineRule="auto"/>
        <w:ind w:firstLineChars="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噪声污染防治</w:t>
      </w:r>
    </w:p>
    <w:p>
      <w:pPr>
        <w:pStyle w:val="9"/>
        <w:numPr>
          <w:ilvl w:val="0"/>
          <w:numId w:val="2"/>
        </w:numPr>
        <w:spacing w:line="480" w:lineRule="auto"/>
        <w:ind w:firstLineChars="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厂区绿化、硬化</w:t>
      </w:r>
    </w:p>
    <w:p>
      <w:pPr>
        <w:pStyle w:val="9"/>
        <w:numPr>
          <w:ilvl w:val="0"/>
          <w:numId w:val="1"/>
        </w:numPr>
        <w:spacing w:line="480" w:lineRule="auto"/>
        <w:ind w:firstLineChars="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环境保护“三同时”执行时的资金投入</w:t>
      </w:r>
    </w:p>
    <w:p>
      <w:pPr>
        <w:pStyle w:val="9"/>
        <w:numPr>
          <w:ilvl w:val="0"/>
          <w:numId w:val="1"/>
        </w:numPr>
        <w:spacing w:line="480" w:lineRule="auto"/>
        <w:ind w:firstLineChars="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加强企业环境保护管理，保证经济建设和环境保护协调发展</w:t>
      </w:r>
    </w:p>
    <w:p>
      <w:pPr>
        <w:pStyle w:val="9"/>
        <w:spacing w:line="480" w:lineRule="auto"/>
        <w:ind w:left="720" w:firstLine="0" w:firstLineChars="0"/>
        <w:jc w:val="left"/>
        <w:rPr>
          <w:rFonts w:hint="eastAsia"/>
          <w:sz w:val="24"/>
          <w:szCs w:val="24"/>
        </w:rPr>
      </w:pPr>
    </w:p>
    <w:p>
      <w:pPr>
        <w:pStyle w:val="9"/>
        <w:spacing w:line="480" w:lineRule="auto"/>
        <w:ind w:left="720" w:firstLine="0" w:firstLineChars="0"/>
        <w:jc w:val="left"/>
        <w:rPr>
          <w:rFonts w:hint="eastAsia"/>
          <w:sz w:val="24"/>
          <w:szCs w:val="24"/>
        </w:rPr>
      </w:pPr>
    </w:p>
    <w:p>
      <w:pPr>
        <w:pStyle w:val="9"/>
        <w:spacing w:line="480" w:lineRule="auto"/>
        <w:ind w:left="720" w:firstLine="0" w:firstLineChars="0"/>
        <w:jc w:val="left"/>
        <w:rPr>
          <w:rFonts w:hint="eastAsia"/>
          <w:sz w:val="24"/>
          <w:szCs w:val="24"/>
        </w:rPr>
      </w:pPr>
    </w:p>
    <w:p>
      <w:pPr>
        <w:pStyle w:val="9"/>
        <w:spacing w:line="480" w:lineRule="auto"/>
        <w:ind w:left="720" w:firstLine="0" w:firstLineChars="0"/>
        <w:jc w:val="left"/>
        <w:rPr>
          <w:rFonts w:hint="eastAsia"/>
          <w:sz w:val="24"/>
          <w:szCs w:val="24"/>
        </w:rPr>
      </w:pPr>
    </w:p>
    <w:p>
      <w:pPr>
        <w:pStyle w:val="9"/>
        <w:spacing w:line="480" w:lineRule="auto"/>
        <w:ind w:left="720" w:firstLine="0" w:firstLineChars="0"/>
        <w:jc w:val="left"/>
        <w:rPr>
          <w:rFonts w:hint="eastAsia"/>
          <w:sz w:val="24"/>
          <w:szCs w:val="24"/>
        </w:rPr>
      </w:pPr>
    </w:p>
    <w:p>
      <w:pPr>
        <w:pStyle w:val="9"/>
        <w:spacing w:line="480" w:lineRule="auto"/>
        <w:ind w:left="720" w:firstLine="0" w:firstLineChars="0"/>
        <w:jc w:val="left"/>
        <w:rPr>
          <w:rFonts w:hint="eastAsia"/>
          <w:sz w:val="24"/>
          <w:szCs w:val="24"/>
        </w:rPr>
      </w:pPr>
    </w:p>
    <w:p>
      <w:pPr>
        <w:pStyle w:val="9"/>
        <w:spacing w:line="480" w:lineRule="auto"/>
        <w:ind w:left="720" w:firstLine="0" w:firstLineChars="0"/>
        <w:jc w:val="left"/>
        <w:rPr>
          <w:rFonts w:hint="eastAsia"/>
          <w:sz w:val="24"/>
          <w:szCs w:val="24"/>
        </w:rPr>
      </w:pPr>
    </w:p>
    <w:p>
      <w:pPr>
        <w:pStyle w:val="9"/>
        <w:spacing w:line="480" w:lineRule="auto"/>
        <w:ind w:left="0" w:leftChars="0" w:firstLine="0" w:firstLineChars="0"/>
        <w:jc w:val="left"/>
        <w:rPr>
          <w:rFonts w:hint="eastAsia"/>
          <w:sz w:val="24"/>
          <w:szCs w:val="24"/>
        </w:rPr>
      </w:pPr>
    </w:p>
    <w:p>
      <w:pPr>
        <w:pStyle w:val="9"/>
        <w:numPr>
          <w:ilvl w:val="0"/>
          <w:numId w:val="3"/>
        </w:numPr>
        <w:spacing w:line="480" w:lineRule="auto"/>
        <w:ind w:firstLineChars="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建设项目基本情况</w:t>
      </w:r>
    </w:p>
    <w:p>
      <w:pPr>
        <w:spacing w:line="50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eastAsia="zh-CN"/>
        </w:rPr>
        <w:t>海安</w:t>
      </w:r>
      <w:r>
        <w:rPr>
          <w:rFonts w:ascii="宋体" w:hAnsi="宋体"/>
          <w:kern w:val="0"/>
          <w:sz w:val="24"/>
          <w:szCs w:val="24"/>
        </w:rPr>
        <w:t>理昂生物质发电项目</w:t>
      </w:r>
      <w:r>
        <w:rPr>
          <w:rFonts w:hint="eastAsia" w:ascii="宋体" w:hAnsi="宋体"/>
          <w:kern w:val="0"/>
          <w:sz w:val="24"/>
          <w:szCs w:val="24"/>
        </w:rPr>
        <w:t>位于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江苏省海安县城东镇常安纺织园内</w:t>
      </w:r>
      <w:r>
        <w:rPr>
          <w:rFonts w:hint="eastAsia" w:ascii="宋体" w:hAnsi="宋体"/>
          <w:kern w:val="0"/>
          <w:sz w:val="24"/>
          <w:szCs w:val="24"/>
        </w:rPr>
        <w:t>，由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江苏海迅理昂新能源电力有限公司</w:t>
      </w:r>
      <w:r>
        <w:rPr>
          <w:rFonts w:hint="eastAsia" w:ascii="宋体" w:hAnsi="宋体"/>
          <w:kern w:val="0"/>
          <w:sz w:val="24"/>
          <w:szCs w:val="24"/>
        </w:rPr>
        <w:t>建设。项目占地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148.5亩</w:t>
      </w:r>
      <w:r>
        <w:rPr>
          <w:rFonts w:ascii="宋体" w:hAnsi="宋体"/>
          <w:kern w:val="0"/>
          <w:sz w:val="24"/>
          <w:szCs w:val="24"/>
        </w:rPr>
        <w:t>（厂区围墙内用地面积）</w:t>
      </w:r>
      <w:r>
        <w:rPr>
          <w:rFonts w:hint="eastAsia" w:ascii="宋体" w:hAnsi="宋体"/>
          <w:kern w:val="0"/>
          <w:sz w:val="24"/>
          <w:szCs w:val="24"/>
        </w:rPr>
        <w:t>，</w:t>
      </w:r>
      <w:r>
        <w:rPr>
          <w:rFonts w:ascii="宋体" w:hAnsi="宋体"/>
          <w:kern w:val="0"/>
          <w:sz w:val="24"/>
          <w:szCs w:val="24"/>
        </w:rPr>
        <w:t>新建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kern w:val="0"/>
          <w:sz w:val="24"/>
          <w:szCs w:val="24"/>
        </w:rPr>
        <w:t>×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15</w:t>
      </w:r>
      <w:r>
        <w:rPr>
          <w:rFonts w:ascii="宋体" w:hAnsi="宋体"/>
          <w:kern w:val="0"/>
          <w:sz w:val="24"/>
          <w:szCs w:val="24"/>
        </w:rPr>
        <w:t>MW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抽</w:t>
      </w:r>
      <w:r>
        <w:rPr>
          <w:rFonts w:hint="eastAsia" w:ascii="宋体" w:hAnsi="宋体"/>
          <w:kern w:val="0"/>
          <w:sz w:val="24"/>
          <w:szCs w:val="24"/>
        </w:rPr>
        <w:t>凝式</w:t>
      </w:r>
      <w:r>
        <w:rPr>
          <w:rFonts w:ascii="宋体" w:hAnsi="宋体"/>
          <w:kern w:val="0"/>
          <w:sz w:val="24"/>
          <w:szCs w:val="24"/>
        </w:rPr>
        <w:t>汽轮</w:t>
      </w:r>
      <w:r>
        <w:rPr>
          <w:rFonts w:hint="eastAsia" w:ascii="宋体" w:hAnsi="宋体"/>
          <w:kern w:val="0"/>
          <w:sz w:val="24"/>
          <w:szCs w:val="24"/>
        </w:rPr>
        <w:t>机</w:t>
      </w:r>
      <w:r>
        <w:rPr>
          <w:rFonts w:ascii="宋体" w:hAnsi="宋体"/>
          <w:kern w:val="0"/>
          <w:sz w:val="24"/>
          <w:szCs w:val="24"/>
        </w:rPr>
        <w:t>发电机组，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kern w:val="0"/>
          <w:sz w:val="24"/>
          <w:szCs w:val="24"/>
        </w:rPr>
        <w:t>台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75</w:t>
      </w:r>
      <w:r>
        <w:rPr>
          <w:rFonts w:hint="eastAsia" w:ascii="宋体" w:hAnsi="宋体"/>
          <w:kern w:val="0"/>
          <w:sz w:val="24"/>
          <w:szCs w:val="24"/>
        </w:rPr>
        <w:t>t/h次高温次高压循环流化床生物质锅炉。项目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生物质</w:t>
      </w:r>
      <w:r>
        <w:rPr>
          <w:rFonts w:hint="eastAsia" w:ascii="宋体" w:hAnsi="宋体"/>
          <w:kern w:val="0"/>
          <w:sz w:val="24"/>
          <w:szCs w:val="24"/>
        </w:rPr>
        <w:t>燃料消耗量为2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kern w:val="0"/>
          <w:sz w:val="24"/>
          <w:szCs w:val="24"/>
        </w:rPr>
        <w:t>万t/a，发电量为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1.95亿度/年</w:t>
      </w:r>
      <w:r>
        <w:rPr>
          <w:rFonts w:hint="eastAsia" w:ascii="宋体" w:hAnsi="宋体"/>
          <w:kern w:val="0"/>
          <w:sz w:val="24"/>
          <w:szCs w:val="24"/>
        </w:rPr>
        <w:t>。</w:t>
      </w:r>
      <w:r>
        <w:rPr>
          <w:rFonts w:ascii="宋体" w:hAnsi="宋体"/>
          <w:kern w:val="0"/>
          <w:sz w:val="24"/>
          <w:szCs w:val="24"/>
        </w:rPr>
        <w:t>设备年利用小时数按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6500</w:t>
      </w:r>
      <w:r>
        <w:rPr>
          <w:rFonts w:ascii="宋体" w:hAnsi="宋体"/>
          <w:kern w:val="0"/>
          <w:sz w:val="24"/>
          <w:szCs w:val="24"/>
        </w:rPr>
        <w:t>h设计。</w:t>
      </w:r>
    </w:p>
    <w:p>
      <w:pPr>
        <w:spacing w:line="50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项目总定员</w:t>
      </w:r>
      <w:r>
        <w:rPr>
          <w:rFonts w:hint="eastAsia" w:ascii="宋体" w:hAnsi="宋体"/>
          <w:kern w:val="0"/>
          <w:sz w:val="24"/>
          <w:szCs w:val="24"/>
        </w:rPr>
        <w:t>95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人</w:t>
      </w:r>
      <w:r>
        <w:rPr>
          <w:rFonts w:hint="eastAsia" w:ascii="宋体" w:hAnsi="宋体"/>
          <w:kern w:val="0"/>
          <w:sz w:val="24"/>
          <w:szCs w:val="24"/>
        </w:rPr>
        <w:t>，项目总投资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22000</w:t>
      </w:r>
      <w:r>
        <w:rPr>
          <w:rFonts w:hint="eastAsia" w:ascii="宋体" w:hAnsi="宋体"/>
          <w:kern w:val="0"/>
          <w:sz w:val="24"/>
          <w:szCs w:val="24"/>
        </w:rPr>
        <w:t>万元。主要环保工程有SNCR脱硝系统、布袋除尘器等。</w:t>
      </w:r>
    </w:p>
    <w:p>
      <w:pPr>
        <w:spacing w:line="50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20</w:t>
      </w:r>
      <w:r>
        <w:rPr>
          <w:rFonts w:hint="eastAsia" w:ascii="宋体" w:hAnsi="宋体"/>
          <w:kern w:val="0"/>
          <w:sz w:val="24"/>
          <w:szCs w:val="24"/>
        </w:rPr>
        <w:t>16</w:t>
      </w:r>
      <w:r>
        <w:rPr>
          <w:rFonts w:ascii="宋体" w:hAnsi="宋体"/>
          <w:kern w:val="0"/>
          <w:sz w:val="24"/>
          <w:szCs w:val="24"/>
        </w:rPr>
        <w:t>年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4</w:t>
      </w:r>
      <w:r>
        <w:rPr>
          <w:rFonts w:ascii="宋体" w:hAnsi="宋体"/>
          <w:kern w:val="0"/>
          <w:sz w:val="24"/>
          <w:szCs w:val="24"/>
        </w:rPr>
        <w:t>月，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江苏润环环境科技有限公司</w:t>
      </w:r>
      <w:r>
        <w:rPr>
          <w:rFonts w:ascii="宋体" w:hAnsi="宋体"/>
          <w:kern w:val="0"/>
          <w:sz w:val="24"/>
          <w:szCs w:val="24"/>
        </w:rPr>
        <w:t>编制完成《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江苏海迅理昂新能源电力有限公司海安理昂生物质发电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2*75t/h次高温次高压循环流化床锅炉配套2*15MW抽凝式汽轮机发电机组</w:t>
      </w:r>
      <w:r>
        <w:rPr>
          <w:rFonts w:ascii="宋体" w:hAnsi="宋体"/>
          <w:kern w:val="0"/>
          <w:sz w:val="24"/>
          <w:szCs w:val="24"/>
        </w:rPr>
        <w:t>环境影响报告书》。20</w:t>
      </w:r>
      <w:r>
        <w:rPr>
          <w:rFonts w:hint="eastAsia" w:ascii="宋体" w:hAnsi="宋体"/>
          <w:kern w:val="0"/>
          <w:sz w:val="24"/>
          <w:szCs w:val="24"/>
        </w:rPr>
        <w:t>16</w:t>
      </w:r>
      <w:r>
        <w:rPr>
          <w:rFonts w:ascii="宋体" w:hAnsi="宋体"/>
          <w:kern w:val="0"/>
          <w:sz w:val="24"/>
          <w:szCs w:val="24"/>
        </w:rPr>
        <w:t>年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4</w:t>
      </w:r>
      <w:r>
        <w:rPr>
          <w:rFonts w:ascii="宋体" w:hAnsi="宋体"/>
          <w:kern w:val="0"/>
          <w:sz w:val="24"/>
          <w:szCs w:val="24"/>
        </w:rPr>
        <w:t>月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27</w:t>
      </w:r>
      <w:r>
        <w:rPr>
          <w:rFonts w:hint="eastAsia" w:ascii="宋体" w:hAnsi="宋体"/>
          <w:kern w:val="0"/>
          <w:sz w:val="24"/>
          <w:szCs w:val="24"/>
        </w:rPr>
        <w:t>日</w:t>
      </w:r>
      <w:r>
        <w:rPr>
          <w:rFonts w:ascii="宋体" w:hAnsi="宋体"/>
          <w:kern w:val="0"/>
          <w:sz w:val="24"/>
          <w:szCs w:val="24"/>
        </w:rPr>
        <w:t>，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南通市行政审批局以通行审批【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2016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268号</w:t>
      </w:r>
      <w:r>
        <w:rPr>
          <w:rFonts w:ascii="宋体" w:hAnsi="宋体"/>
          <w:kern w:val="0"/>
          <w:sz w:val="24"/>
          <w:szCs w:val="24"/>
        </w:rPr>
        <w:t>文对该环境影响报告书作了批复。20</w:t>
      </w:r>
      <w:r>
        <w:rPr>
          <w:rFonts w:hint="eastAsia" w:ascii="宋体" w:hAnsi="宋体"/>
          <w:kern w:val="0"/>
          <w:sz w:val="24"/>
          <w:szCs w:val="24"/>
        </w:rPr>
        <w:t>1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7</w:t>
      </w:r>
      <w:r>
        <w:rPr>
          <w:rFonts w:ascii="宋体" w:hAnsi="宋体"/>
          <w:kern w:val="0"/>
          <w:sz w:val="24"/>
          <w:szCs w:val="24"/>
        </w:rPr>
        <w:t>年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5</w:t>
      </w:r>
      <w:r>
        <w:rPr>
          <w:rFonts w:ascii="宋体" w:hAnsi="宋体"/>
          <w:kern w:val="0"/>
          <w:sz w:val="24"/>
          <w:szCs w:val="24"/>
        </w:rPr>
        <w:t>月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kern w:val="0"/>
          <w:sz w:val="24"/>
          <w:szCs w:val="24"/>
        </w:rPr>
        <w:t>日</w:t>
      </w:r>
      <w:r>
        <w:rPr>
          <w:rFonts w:ascii="宋体" w:hAnsi="宋体"/>
          <w:kern w:val="0"/>
          <w:sz w:val="24"/>
          <w:szCs w:val="24"/>
        </w:rPr>
        <w:t>，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江苏海迅理昂新能源电力有限公司</w:t>
      </w:r>
      <w:r>
        <w:rPr>
          <w:rFonts w:hint="eastAsia" w:ascii="宋体" w:hAnsi="宋体"/>
          <w:kern w:val="0"/>
          <w:sz w:val="24"/>
          <w:szCs w:val="24"/>
        </w:rPr>
        <w:t>向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南通市行政审批局提交了试生产报告</w:t>
      </w:r>
      <w:r>
        <w:rPr>
          <w:rFonts w:hint="eastAsia" w:ascii="宋体" w:hAnsi="宋体"/>
          <w:kern w:val="0"/>
          <w:sz w:val="24"/>
          <w:szCs w:val="24"/>
        </w:rPr>
        <w:t>。</w:t>
      </w:r>
    </w:p>
    <w:p>
      <w:pPr>
        <w:spacing w:line="50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20</w:t>
      </w:r>
      <w:r>
        <w:rPr>
          <w:rFonts w:hint="eastAsia" w:ascii="宋体" w:hAnsi="宋体"/>
          <w:kern w:val="0"/>
          <w:sz w:val="24"/>
          <w:szCs w:val="24"/>
        </w:rPr>
        <w:t>17</w:t>
      </w:r>
      <w:r>
        <w:rPr>
          <w:rFonts w:ascii="宋体" w:hAnsi="宋体"/>
          <w:kern w:val="0"/>
          <w:sz w:val="24"/>
          <w:szCs w:val="24"/>
        </w:rPr>
        <w:t>年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11</w:t>
      </w:r>
      <w:r>
        <w:rPr>
          <w:rFonts w:ascii="宋体" w:hAnsi="宋体"/>
          <w:kern w:val="0"/>
          <w:sz w:val="24"/>
          <w:szCs w:val="24"/>
        </w:rPr>
        <w:t>月，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江苏海迅理昂新能源电力有限公司</w:t>
      </w:r>
      <w:r>
        <w:rPr>
          <w:rFonts w:ascii="宋体" w:hAnsi="宋体"/>
          <w:kern w:val="0"/>
          <w:sz w:val="24"/>
          <w:szCs w:val="24"/>
        </w:rPr>
        <w:t>委托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青山绿水（江苏）检验检测有限公司</w:t>
      </w:r>
      <w:r>
        <w:rPr>
          <w:rFonts w:ascii="宋体" w:hAnsi="宋体"/>
          <w:kern w:val="0"/>
          <w:sz w:val="24"/>
          <w:szCs w:val="24"/>
        </w:rPr>
        <w:t>对该项目进行竣工环境保护验收监测。201</w:t>
      </w:r>
      <w:r>
        <w:rPr>
          <w:rFonts w:hint="eastAsia" w:ascii="宋体" w:hAnsi="宋体"/>
          <w:kern w:val="0"/>
          <w:sz w:val="24"/>
          <w:szCs w:val="24"/>
        </w:rPr>
        <w:t>7</w:t>
      </w:r>
      <w:r>
        <w:rPr>
          <w:rFonts w:ascii="宋体" w:hAnsi="宋体"/>
          <w:kern w:val="0"/>
          <w:sz w:val="24"/>
          <w:szCs w:val="24"/>
        </w:rPr>
        <w:t>年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11</w:t>
      </w:r>
      <w:r>
        <w:rPr>
          <w:rFonts w:ascii="宋体" w:hAnsi="宋体"/>
          <w:kern w:val="0"/>
          <w:sz w:val="24"/>
          <w:szCs w:val="24"/>
        </w:rPr>
        <w:t>月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kern w:val="0"/>
          <w:sz w:val="24"/>
          <w:szCs w:val="24"/>
        </w:rPr>
        <w:t>—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17</w:t>
      </w:r>
      <w:r>
        <w:rPr>
          <w:rFonts w:hint="eastAsia" w:ascii="宋体" w:hAnsi="宋体"/>
          <w:kern w:val="0"/>
          <w:sz w:val="24"/>
          <w:szCs w:val="24"/>
        </w:rPr>
        <w:t>日</w:t>
      </w:r>
      <w:r>
        <w:rPr>
          <w:rFonts w:ascii="宋体" w:hAnsi="宋体"/>
          <w:kern w:val="0"/>
          <w:sz w:val="24"/>
          <w:szCs w:val="24"/>
        </w:rPr>
        <w:t>，项目</w:t>
      </w:r>
      <w:r>
        <w:rPr>
          <w:rFonts w:hint="eastAsia" w:ascii="宋体" w:hAnsi="宋体"/>
          <w:kern w:val="0"/>
          <w:sz w:val="24"/>
          <w:szCs w:val="24"/>
        </w:rPr>
        <w:t>完成</w:t>
      </w:r>
      <w:r>
        <w:rPr>
          <w:rFonts w:ascii="宋体" w:hAnsi="宋体"/>
          <w:kern w:val="0"/>
          <w:sz w:val="24"/>
          <w:szCs w:val="24"/>
        </w:rPr>
        <w:t>现场监测及检查，根据监测数据和检查结果编制《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江苏海迅理昂新能源电力有限公司海安理昂生物质发电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2*75t/h次高温次高压循环流化床锅炉配套2*15MW抽凝式汽轮发电机组项目竣工环境保护验收监测报告</w:t>
      </w:r>
      <w:r>
        <w:rPr>
          <w:rFonts w:ascii="宋体" w:hAnsi="宋体"/>
          <w:kern w:val="0"/>
          <w:sz w:val="24"/>
          <w:szCs w:val="24"/>
        </w:rPr>
        <w:t>》。</w:t>
      </w:r>
    </w:p>
    <w:p>
      <w:pPr>
        <w:pStyle w:val="9"/>
        <w:numPr>
          <w:ilvl w:val="0"/>
          <w:numId w:val="3"/>
        </w:numPr>
        <w:spacing w:line="480" w:lineRule="auto"/>
        <w:ind w:firstLineChars="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污染防治措施“三同时”执行情况</w:t>
      </w:r>
    </w:p>
    <w:p>
      <w:pPr>
        <w:spacing w:line="500" w:lineRule="exact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项目燃烧</w:t>
      </w:r>
      <w:r>
        <w:rPr>
          <w:rFonts w:hint="eastAsia" w:ascii="宋体" w:hAnsi="宋体"/>
          <w:kern w:val="0"/>
          <w:sz w:val="24"/>
          <w:szCs w:val="24"/>
        </w:rPr>
        <w:t>的燃料（</w:t>
      </w:r>
      <w:r>
        <w:rPr>
          <w:rFonts w:ascii="宋体" w:hAnsi="宋体"/>
          <w:kern w:val="0"/>
          <w:sz w:val="24"/>
          <w:szCs w:val="24"/>
        </w:rPr>
        <w:t>秸杆</w:t>
      </w:r>
      <w:r>
        <w:rPr>
          <w:rFonts w:hint="eastAsia" w:ascii="宋体" w:hAnsi="宋体"/>
          <w:kern w:val="0"/>
          <w:sz w:val="24"/>
          <w:szCs w:val="24"/>
        </w:rPr>
        <w:t>、树皮、枝桠材等）</w:t>
      </w:r>
      <w:r>
        <w:rPr>
          <w:rFonts w:ascii="宋体" w:hAnsi="宋体"/>
          <w:kern w:val="0"/>
          <w:sz w:val="24"/>
          <w:szCs w:val="24"/>
        </w:rPr>
        <w:t>由汽车运输进厂，经铲车送入散料口进入皮带输送至锅炉燃烧室，在锅炉内燃烧放热，将化学能转变成热能使锅炉水变成高温高压蒸汽后进入汽轮机，推动汽轮机带动发电机发电，电经配电装置由输电线路送出。锅炉产生的蒸汽除部分自用或消耗外，其余过热蒸汽通过蒸汽管送到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抽凝式汽</w:t>
      </w:r>
      <w:r>
        <w:rPr>
          <w:rFonts w:ascii="宋体" w:hAnsi="宋体"/>
          <w:kern w:val="0"/>
          <w:sz w:val="24"/>
          <w:szCs w:val="24"/>
        </w:rPr>
        <w:t>轮发电机组发电。所生产的电力，除本厂自用外，其余</w:t>
      </w:r>
      <w:r>
        <w:rPr>
          <w:rFonts w:hint="eastAsia" w:ascii="宋体" w:hAnsi="宋体"/>
          <w:kern w:val="0"/>
          <w:sz w:val="24"/>
          <w:szCs w:val="24"/>
        </w:rPr>
        <w:t>全部</w:t>
      </w:r>
      <w:r>
        <w:rPr>
          <w:rFonts w:ascii="宋体" w:hAnsi="宋体"/>
          <w:kern w:val="0"/>
          <w:sz w:val="24"/>
          <w:szCs w:val="24"/>
        </w:rPr>
        <w:t>并入电网。凝汽器的冷却水循环使用，冷却塔蒸发及风吹损耗由工业水系统补给。</w:t>
      </w:r>
      <w:r>
        <w:rPr>
          <w:rFonts w:hint="eastAsia" w:ascii="宋体" w:hAnsi="宋体"/>
          <w:kern w:val="0"/>
          <w:sz w:val="24"/>
          <w:szCs w:val="24"/>
        </w:rPr>
        <w:t>生产过程中产生的烟气、噪声、固废及厂区生活污水等，按照环境保护达标排放的原则，我司分别采取了针对性污染治理措施，保证水、气、渣、噪的污染排放符合国家环境保护的相关标准。</w:t>
      </w:r>
    </w:p>
    <w:p>
      <w:pPr>
        <w:spacing w:line="48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（一）大气污染的防治</w:t>
      </w:r>
    </w:p>
    <w:p>
      <w:pPr>
        <w:spacing w:line="480" w:lineRule="auto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1、锅炉烟气的治理</w:t>
      </w:r>
    </w:p>
    <w:p>
      <w:pPr>
        <w:spacing w:line="50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本工程的生物质燃料</w:t>
      </w:r>
      <w:r>
        <w:rPr>
          <w:rFonts w:hint="eastAsia" w:ascii="宋体" w:hAnsi="宋体"/>
          <w:kern w:val="0"/>
          <w:sz w:val="24"/>
          <w:szCs w:val="24"/>
        </w:rPr>
        <w:t>为</w:t>
      </w:r>
      <w:r>
        <w:rPr>
          <w:rFonts w:ascii="宋体" w:hAnsi="宋体"/>
          <w:kern w:val="0"/>
          <w:sz w:val="24"/>
          <w:szCs w:val="24"/>
        </w:rPr>
        <w:t>秸杆</w:t>
      </w:r>
      <w:r>
        <w:rPr>
          <w:rFonts w:hint="eastAsia" w:ascii="宋体" w:hAnsi="宋体"/>
          <w:kern w:val="0"/>
          <w:sz w:val="24"/>
          <w:szCs w:val="24"/>
        </w:rPr>
        <w:t>、树皮、枝桠材等</w:t>
      </w:r>
      <w:r>
        <w:rPr>
          <w:rFonts w:ascii="宋体" w:hAnsi="宋体"/>
          <w:kern w:val="0"/>
          <w:sz w:val="24"/>
          <w:szCs w:val="24"/>
        </w:rPr>
        <w:t>，含硫量较低，锅炉废气采用循环流化床锅炉脱硫，脱硫效率不低于55%；采用布袋除尘器除尘，除尘效率不低于99.9%；循环流化床锅炉燃烧温度较低，能有效减少氮氧化物的生成，并采用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空气分级燃烧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+</w:t>
      </w:r>
      <w:r>
        <w:rPr>
          <w:rFonts w:ascii="宋体" w:hAnsi="宋体"/>
          <w:kern w:val="0"/>
          <w:sz w:val="24"/>
          <w:szCs w:val="24"/>
        </w:rPr>
        <w:t>SNCR脱氮工艺，脱氮效率不小于</w:t>
      </w:r>
      <w:r>
        <w:rPr>
          <w:rFonts w:hint="eastAsia" w:ascii="宋体" w:hAnsi="宋体"/>
          <w:kern w:val="0"/>
          <w:sz w:val="24"/>
          <w:szCs w:val="24"/>
        </w:rPr>
        <w:t>6</w:t>
      </w:r>
      <w:r>
        <w:rPr>
          <w:rFonts w:ascii="宋体" w:hAnsi="宋体"/>
          <w:kern w:val="0"/>
          <w:sz w:val="24"/>
          <w:szCs w:val="24"/>
        </w:rPr>
        <w:t>0%，有利于减少大气污染。计算本项目空气污染物排放情况表</w:t>
      </w:r>
      <w:r>
        <w:rPr>
          <w:rFonts w:hint="eastAsia" w:ascii="宋体" w:hAnsi="宋体"/>
          <w:color w:val="0000FF"/>
          <w:kern w:val="0"/>
          <w:sz w:val="24"/>
          <w:szCs w:val="24"/>
        </w:rPr>
        <w:t>2.1</w:t>
      </w:r>
      <w:r>
        <w:rPr>
          <w:rFonts w:ascii="宋体" w:hAnsi="宋体"/>
          <w:color w:val="0000FF"/>
          <w:kern w:val="0"/>
          <w:sz w:val="24"/>
          <w:szCs w:val="24"/>
        </w:rPr>
        <w:t>-1</w:t>
      </w:r>
      <w:r>
        <w:rPr>
          <w:rFonts w:ascii="宋体" w:hAnsi="宋体"/>
          <w:kern w:val="0"/>
          <w:sz w:val="24"/>
          <w:szCs w:val="24"/>
        </w:rPr>
        <w:t>。</w:t>
      </w:r>
    </w:p>
    <w:p>
      <w:pPr>
        <w:spacing w:line="500" w:lineRule="exact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本项目在烟囱设置烟气连续监测系统</w:t>
      </w:r>
      <w:r>
        <w:rPr>
          <w:rFonts w:hint="eastAsia" w:ascii="宋体" w:hAnsi="宋体"/>
          <w:kern w:val="0"/>
          <w:sz w:val="24"/>
          <w:szCs w:val="24"/>
        </w:rPr>
        <w:t>（</w:t>
      </w:r>
      <w:r>
        <w:rPr>
          <w:rFonts w:ascii="宋体" w:hAnsi="宋体"/>
          <w:kern w:val="0"/>
          <w:sz w:val="24"/>
          <w:szCs w:val="24"/>
        </w:rPr>
        <w:t>CEMS</w:t>
      </w:r>
      <w:r>
        <w:rPr>
          <w:rFonts w:hint="eastAsia" w:ascii="宋体" w:hAnsi="宋体"/>
          <w:kern w:val="0"/>
          <w:sz w:val="24"/>
          <w:szCs w:val="24"/>
        </w:rPr>
        <w:t>）</w:t>
      </w:r>
      <w:r>
        <w:rPr>
          <w:rFonts w:ascii="宋体" w:hAnsi="宋体"/>
          <w:kern w:val="0"/>
          <w:sz w:val="24"/>
          <w:szCs w:val="24"/>
        </w:rPr>
        <w:t>，对烟气的SO2、NOx、烟尘、烟气量等进行连续监测。同时设置手工采样口及采样平台。</w:t>
      </w:r>
      <w:r>
        <w:rPr>
          <w:rFonts w:hint="eastAsia" w:ascii="宋体" w:hAnsi="宋体"/>
          <w:kern w:val="0"/>
          <w:sz w:val="24"/>
          <w:szCs w:val="24"/>
        </w:rPr>
        <w:t>同时</w:t>
      </w:r>
      <w:r>
        <w:rPr>
          <w:rFonts w:ascii="宋体" w:hAnsi="宋体"/>
          <w:kern w:val="0"/>
          <w:sz w:val="24"/>
          <w:szCs w:val="24"/>
        </w:rPr>
        <w:t>考虑到雨季燃料堆场异味的影响，需在靠近燃料堆场的</w:t>
      </w:r>
      <w:r>
        <w:rPr>
          <w:rFonts w:hint="eastAsia" w:ascii="宋体" w:hAnsi="宋体"/>
          <w:kern w:val="0"/>
          <w:sz w:val="24"/>
          <w:szCs w:val="24"/>
        </w:rPr>
        <w:t>东</w:t>
      </w:r>
      <w:r>
        <w:rPr>
          <w:rFonts w:ascii="宋体" w:hAnsi="宋体"/>
          <w:kern w:val="0"/>
          <w:sz w:val="24"/>
          <w:szCs w:val="24"/>
        </w:rPr>
        <w:t>面、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南</w:t>
      </w:r>
      <w:r>
        <w:rPr>
          <w:rFonts w:ascii="宋体" w:hAnsi="宋体"/>
          <w:kern w:val="0"/>
          <w:sz w:val="24"/>
          <w:szCs w:val="24"/>
        </w:rPr>
        <w:t>面和</w:t>
      </w:r>
      <w:r>
        <w:rPr>
          <w:rFonts w:hint="eastAsia" w:ascii="宋体" w:hAnsi="宋体"/>
          <w:kern w:val="0"/>
          <w:sz w:val="24"/>
          <w:szCs w:val="24"/>
        </w:rPr>
        <w:t>西</w:t>
      </w:r>
      <w:r>
        <w:rPr>
          <w:rFonts w:ascii="宋体" w:hAnsi="宋体"/>
          <w:kern w:val="0"/>
          <w:sz w:val="24"/>
          <w:szCs w:val="24"/>
        </w:rPr>
        <w:t>面厂界外设置50m的</w:t>
      </w:r>
      <w:r>
        <w:rPr>
          <w:rFonts w:hint="eastAsia" w:ascii="宋体" w:hAnsi="宋体"/>
          <w:kern w:val="0"/>
          <w:sz w:val="24"/>
          <w:szCs w:val="24"/>
        </w:rPr>
        <w:t>卫生</w:t>
      </w:r>
      <w:r>
        <w:rPr>
          <w:rFonts w:ascii="宋体" w:hAnsi="宋体"/>
          <w:kern w:val="0"/>
          <w:sz w:val="24"/>
          <w:szCs w:val="24"/>
        </w:rPr>
        <w:t>防护距离。</w:t>
      </w:r>
      <w:r>
        <w:rPr>
          <w:rFonts w:hint="eastAsia" w:ascii="宋体" w:hAnsi="宋体"/>
          <w:kern w:val="0"/>
          <w:sz w:val="24"/>
          <w:szCs w:val="24"/>
        </w:rPr>
        <w:t>卫生</w:t>
      </w:r>
      <w:r>
        <w:rPr>
          <w:rFonts w:ascii="宋体" w:hAnsi="宋体"/>
          <w:kern w:val="0"/>
          <w:sz w:val="24"/>
          <w:szCs w:val="24"/>
        </w:rPr>
        <w:t>防护距离范围内无建筑需拆迁</w:t>
      </w:r>
      <w:r>
        <w:rPr>
          <w:rFonts w:hint="eastAsia" w:ascii="宋体" w:hAnsi="宋体"/>
          <w:kern w:val="0"/>
          <w:sz w:val="24"/>
          <w:szCs w:val="24"/>
        </w:rPr>
        <w:t>。</w:t>
      </w:r>
    </w:p>
    <w:p>
      <w:pPr>
        <w:spacing w:line="50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从表</w:t>
      </w:r>
      <w:r>
        <w:rPr>
          <w:rFonts w:hint="eastAsia" w:ascii="宋体" w:hAnsi="宋体"/>
          <w:kern w:val="0"/>
          <w:sz w:val="24"/>
          <w:szCs w:val="24"/>
        </w:rPr>
        <w:t>2.1</w:t>
      </w:r>
      <w:r>
        <w:rPr>
          <w:rFonts w:ascii="宋体" w:hAnsi="宋体"/>
          <w:kern w:val="0"/>
          <w:sz w:val="24"/>
          <w:szCs w:val="24"/>
        </w:rPr>
        <w:t>-1可看出，本项目SO2、烟尘、NOx污染物排放浓度均达到《火电厂大气污染物排放标准》(GB13223-2011)中相应的排放标准限值要求，且本工程所用生物质燃料的汞及其化合物含量极低，燃烧后的烟气经脱硝、除尘后排入空气中汞的含量极低，汞及其化合物的排放浓度小于《火电厂大气污染物排放标准》(GB13223-2011)排放标准限值。</w:t>
      </w:r>
    </w:p>
    <w:p>
      <w:pPr>
        <w:spacing w:line="500" w:lineRule="exact"/>
        <w:jc w:val="center"/>
        <w:rPr>
          <w:b/>
        </w:rPr>
      </w:pPr>
      <w:r>
        <w:rPr>
          <w:b/>
          <w:sz w:val="24"/>
        </w:rPr>
        <w:t>表</w:t>
      </w:r>
      <w:r>
        <w:rPr>
          <w:rFonts w:hint="eastAsia"/>
          <w:b/>
          <w:sz w:val="24"/>
        </w:rPr>
        <w:t>2.1</w:t>
      </w:r>
      <w:r>
        <w:rPr>
          <w:b/>
          <w:sz w:val="24"/>
        </w:rPr>
        <w:t>-1    锅炉排烟参数和空气污染物排放情况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844"/>
        <w:gridCol w:w="1994"/>
        <w:gridCol w:w="1241"/>
        <w:gridCol w:w="1459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4332" w:type="dxa"/>
            <w:gridSpan w:val="3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项        目</w:t>
            </w:r>
          </w:p>
        </w:tc>
        <w:tc>
          <w:tcPr>
            <w:tcW w:w="1241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符号</w:t>
            </w:r>
          </w:p>
        </w:tc>
        <w:tc>
          <w:tcPr>
            <w:tcW w:w="1459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单位</w:t>
            </w:r>
          </w:p>
        </w:tc>
        <w:tc>
          <w:tcPr>
            <w:tcW w:w="1490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338" w:type="dxa"/>
            <w:gridSpan w:val="2"/>
            <w:vMerge w:val="restart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烟囱</w:t>
            </w:r>
          </w:p>
        </w:tc>
        <w:tc>
          <w:tcPr>
            <w:tcW w:w="1994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几何高度</w:t>
            </w:r>
          </w:p>
        </w:tc>
        <w:tc>
          <w:tcPr>
            <w:tcW w:w="1241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Hs</w:t>
            </w:r>
          </w:p>
        </w:tc>
        <w:tc>
          <w:tcPr>
            <w:tcW w:w="1459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</w:t>
            </w:r>
          </w:p>
        </w:tc>
        <w:tc>
          <w:tcPr>
            <w:tcW w:w="1490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338" w:type="dxa"/>
            <w:gridSpan w:val="2"/>
            <w:vMerge w:val="continue"/>
            <w:vAlign w:val="center"/>
          </w:tcPr>
          <w:p>
            <w:pPr>
              <w:pStyle w:val="4"/>
              <w:spacing w:line="320" w:lineRule="exact"/>
              <w:ind w:firstLine="4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94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出口内径</w:t>
            </w:r>
          </w:p>
        </w:tc>
        <w:tc>
          <w:tcPr>
            <w:tcW w:w="1241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D</w:t>
            </w:r>
          </w:p>
        </w:tc>
        <w:tc>
          <w:tcPr>
            <w:tcW w:w="1459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</w:t>
            </w:r>
          </w:p>
        </w:tc>
        <w:tc>
          <w:tcPr>
            <w:tcW w:w="1490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338" w:type="dxa"/>
            <w:gridSpan w:val="2"/>
            <w:vMerge w:val="restart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烟气排</w:t>
            </w:r>
          </w:p>
          <w:p>
            <w:pPr>
              <w:pStyle w:val="4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放状况</w:t>
            </w:r>
          </w:p>
        </w:tc>
        <w:tc>
          <w:tcPr>
            <w:tcW w:w="1994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干烟气量</w:t>
            </w:r>
          </w:p>
        </w:tc>
        <w:tc>
          <w:tcPr>
            <w:tcW w:w="1241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V</w:t>
            </w:r>
            <w:r>
              <w:rPr>
                <w:rFonts w:ascii="Times New Roman" w:hAnsi="Times New Roman"/>
                <w:sz w:val="21"/>
                <w:szCs w:val="21"/>
                <w:vertAlign w:val="subscript"/>
              </w:rPr>
              <w:t>g</w:t>
            </w:r>
          </w:p>
        </w:tc>
        <w:tc>
          <w:tcPr>
            <w:tcW w:w="1459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Nm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/h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171139</w:t>
            </w:r>
          </w:p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338" w:type="dxa"/>
            <w:gridSpan w:val="2"/>
            <w:vMerge w:val="continue"/>
            <w:vAlign w:val="center"/>
          </w:tcPr>
          <w:p>
            <w:pPr>
              <w:pStyle w:val="4"/>
              <w:spacing w:line="320" w:lineRule="exact"/>
              <w:ind w:firstLine="4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94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湿烟气量</w:t>
            </w:r>
          </w:p>
        </w:tc>
        <w:tc>
          <w:tcPr>
            <w:tcW w:w="1241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V</w:t>
            </w:r>
            <w:r>
              <w:rPr>
                <w:rFonts w:ascii="Times New Roman" w:hAnsi="Times New Roman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459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Nm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/h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277035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338" w:type="dxa"/>
            <w:gridSpan w:val="2"/>
            <w:vMerge w:val="continue"/>
            <w:vAlign w:val="center"/>
          </w:tcPr>
          <w:p>
            <w:pPr>
              <w:pStyle w:val="4"/>
              <w:spacing w:line="320" w:lineRule="exact"/>
              <w:ind w:firstLine="4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94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烟气含氧量</w:t>
            </w:r>
          </w:p>
        </w:tc>
        <w:tc>
          <w:tcPr>
            <w:tcW w:w="1241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1459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%</w:t>
            </w:r>
          </w:p>
        </w:tc>
        <w:tc>
          <w:tcPr>
            <w:tcW w:w="1490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338" w:type="dxa"/>
            <w:gridSpan w:val="2"/>
            <w:vMerge w:val="continue"/>
            <w:vAlign w:val="center"/>
          </w:tcPr>
          <w:p>
            <w:pPr>
              <w:pStyle w:val="4"/>
              <w:spacing w:line="320" w:lineRule="exact"/>
              <w:ind w:firstLine="4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94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空气过剩系数</w:t>
            </w:r>
          </w:p>
        </w:tc>
        <w:tc>
          <w:tcPr>
            <w:tcW w:w="1241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/</w:t>
            </w:r>
          </w:p>
        </w:tc>
        <w:tc>
          <w:tcPr>
            <w:tcW w:w="1459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 w:firstLine="4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90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338" w:type="dxa"/>
            <w:gridSpan w:val="2"/>
            <w:vMerge w:val="restart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烟囱出口参数</w:t>
            </w:r>
          </w:p>
        </w:tc>
        <w:tc>
          <w:tcPr>
            <w:tcW w:w="1994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烟气温度</w:t>
            </w:r>
          </w:p>
        </w:tc>
        <w:tc>
          <w:tcPr>
            <w:tcW w:w="1241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z w:val="21"/>
                <w:szCs w:val="21"/>
                <w:vertAlign w:val="subscript"/>
              </w:rPr>
              <w:t>s</w:t>
            </w:r>
          </w:p>
        </w:tc>
        <w:tc>
          <w:tcPr>
            <w:tcW w:w="1459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C</w:t>
            </w:r>
          </w:p>
        </w:tc>
        <w:tc>
          <w:tcPr>
            <w:tcW w:w="1490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exact"/>
          <w:jc w:val="center"/>
        </w:trPr>
        <w:tc>
          <w:tcPr>
            <w:tcW w:w="2338" w:type="dxa"/>
            <w:gridSpan w:val="2"/>
            <w:vMerge w:val="continue"/>
            <w:vAlign w:val="center"/>
          </w:tcPr>
          <w:p>
            <w:pPr>
              <w:pStyle w:val="4"/>
              <w:spacing w:line="320" w:lineRule="exact"/>
              <w:ind w:firstLine="4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94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排烟速度</w:t>
            </w:r>
          </w:p>
        </w:tc>
        <w:tc>
          <w:tcPr>
            <w:tcW w:w="1241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v</w:t>
            </w:r>
            <w:r>
              <w:rPr>
                <w:rFonts w:ascii="Times New Roman" w:hAnsi="Times New Roman"/>
                <w:sz w:val="21"/>
                <w:szCs w:val="21"/>
                <w:vertAlign w:val="subscript"/>
              </w:rPr>
              <w:t>s</w:t>
            </w:r>
          </w:p>
        </w:tc>
        <w:tc>
          <w:tcPr>
            <w:tcW w:w="1459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m/s</w:t>
            </w:r>
          </w:p>
        </w:tc>
        <w:tc>
          <w:tcPr>
            <w:tcW w:w="1490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4.53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94" w:type="dxa"/>
            <w:vMerge w:val="restart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4" w:type="dxa"/>
            <w:vMerge w:val="restart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994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年排放量</w:t>
            </w:r>
          </w:p>
        </w:tc>
        <w:tc>
          <w:tcPr>
            <w:tcW w:w="1241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z w:val="21"/>
                <w:szCs w:val="21"/>
                <w:vertAlign w:val="subscript"/>
              </w:rPr>
              <w:t>SO2</w:t>
            </w:r>
          </w:p>
        </w:tc>
        <w:tc>
          <w:tcPr>
            <w:tcW w:w="1459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t/a</w:t>
            </w:r>
          </w:p>
        </w:tc>
        <w:tc>
          <w:tcPr>
            <w:tcW w:w="1490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28.43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994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排放浓度</w:t>
            </w:r>
          </w:p>
        </w:tc>
        <w:tc>
          <w:tcPr>
            <w:tcW w:w="1241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</w:t>
            </w:r>
            <w:r>
              <w:rPr>
                <w:rFonts w:ascii="Times New Roman" w:hAnsi="Times New Roman"/>
                <w:sz w:val="21"/>
                <w:szCs w:val="21"/>
                <w:vertAlign w:val="subscript"/>
              </w:rPr>
              <w:t>SO2</w:t>
            </w:r>
          </w:p>
        </w:tc>
        <w:tc>
          <w:tcPr>
            <w:tcW w:w="1459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mg/Nm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490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宋体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994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标准浓度</w:t>
            </w:r>
          </w:p>
        </w:tc>
        <w:tc>
          <w:tcPr>
            <w:tcW w:w="1241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</w:t>
            </w:r>
            <w:r>
              <w:rPr>
                <w:rFonts w:ascii="Times New Roman" w:hAnsi="Times New Roman"/>
                <w:sz w:val="21"/>
                <w:szCs w:val="21"/>
                <w:vertAlign w:val="subscript"/>
              </w:rPr>
              <w:t>SO2</w:t>
            </w:r>
          </w:p>
        </w:tc>
        <w:tc>
          <w:tcPr>
            <w:tcW w:w="1459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mg/Nm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490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44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烟尘</w:t>
            </w:r>
          </w:p>
        </w:tc>
        <w:tc>
          <w:tcPr>
            <w:tcW w:w="1994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年排放量</w:t>
            </w:r>
          </w:p>
        </w:tc>
        <w:tc>
          <w:tcPr>
            <w:tcW w:w="1241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z w:val="21"/>
                <w:szCs w:val="21"/>
                <w:vertAlign w:val="subscript"/>
              </w:rPr>
              <w:t>A</w:t>
            </w:r>
          </w:p>
        </w:tc>
        <w:tc>
          <w:tcPr>
            <w:tcW w:w="1459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t/a</w:t>
            </w:r>
          </w:p>
        </w:tc>
        <w:tc>
          <w:tcPr>
            <w:tcW w:w="1490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12.9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994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排放浓度</w:t>
            </w:r>
          </w:p>
        </w:tc>
        <w:tc>
          <w:tcPr>
            <w:tcW w:w="1241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</w:t>
            </w:r>
            <w:r>
              <w:rPr>
                <w:rFonts w:ascii="Times New Roman" w:hAnsi="Times New Roman"/>
                <w:sz w:val="21"/>
                <w:szCs w:val="21"/>
                <w:vertAlign w:val="subscript"/>
              </w:rPr>
              <w:t>A</w:t>
            </w:r>
          </w:p>
        </w:tc>
        <w:tc>
          <w:tcPr>
            <w:tcW w:w="1459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mg/Nm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490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994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标准浓度</w:t>
            </w:r>
          </w:p>
        </w:tc>
        <w:tc>
          <w:tcPr>
            <w:tcW w:w="1241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</w:t>
            </w:r>
            <w:r>
              <w:rPr>
                <w:rFonts w:ascii="Times New Roman" w:hAnsi="Times New Roman"/>
                <w:sz w:val="21"/>
                <w:szCs w:val="21"/>
                <w:vertAlign w:val="subscript"/>
              </w:rPr>
              <w:t>A</w:t>
            </w:r>
          </w:p>
        </w:tc>
        <w:tc>
          <w:tcPr>
            <w:tcW w:w="1459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mg/Nm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490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44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NO</w:t>
            </w:r>
            <w:r>
              <w:rPr>
                <w:szCs w:val="21"/>
                <w:vertAlign w:val="subscript"/>
              </w:rPr>
              <w:t>x</w:t>
            </w:r>
          </w:p>
        </w:tc>
        <w:tc>
          <w:tcPr>
            <w:tcW w:w="1994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年排放量</w:t>
            </w:r>
          </w:p>
        </w:tc>
        <w:tc>
          <w:tcPr>
            <w:tcW w:w="1241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z w:val="21"/>
                <w:szCs w:val="21"/>
                <w:vertAlign w:val="subscript"/>
              </w:rPr>
              <w:t>NOx</w:t>
            </w:r>
          </w:p>
        </w:tc>
        <w:tc>
          <w:tcPr>
            <w:tcW w:w="1459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t/a</w:t>
            </w:r>
          </w:p>
        </w:tc>
        <w:tc>
          <w:tcPr>
            <w:tcW w:w="1490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57.5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994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排放浓度</w:t>
            </w:r>
          </w:p>
        </w:tc>
        <w:tc>
          <w:tcPr>
            <w:tcW w:w="1241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</w:t>
            </w:r>
            <w:r>
              <w:rPr>
                <w:rFonts w:ascii="Times New Roman" w:hAnsi="Times New Roman"/>
                <w:sz w:val="21"/>
                <w:szCs w:val="21"/>
                <w:vertAlign w:val="subscript"/>
              </w:rPr>
              <w:t>NOx</w:t>
            </w:r>
          </w:p>
        </w:tc>
        <w:tc>
          <w:tcPr>
            <w:tcW w:w="1459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mg/Nm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490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宋体"/>
                <w:sz w:val="21"/>
                <w:szCs w:val="21"/>
              </w:rPr>
              <w:t>≤</w:t>
            </w: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994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标准浓度</w:t>
            </w:r>
          </w:p>
        </w:tc>
        <w:tc>
          <w:tcPr>
            <w:tcW w:w="1241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</w:t>
            </w:r>
            <w:r>
              <w:rPr>
                <w:rFonts w:ascii="Times New Roman" w:hAnsi="Times New Roman"/>
                <w:sz w:val="21"/>
                <w:szCs w:val="21"/>
                <w:vertAlign w:val="subscript"/>
              </w:rPr>
              <w:t>NOx</w:t>
            </w:r>
          </w:p>
        </w:tc>
        <w:tc>
          <w:tcPr>
            <w:tcW w:w="1459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mg/Nm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490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≤</w:t>
            </w: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</w:tr>
    </w:tbl>
    <w:p>
      <w:pPr>
        <w:adjustRightInd w:val="0"/>
        <w:snapToGrid w:val="0"/>
        <w:spacing w:before="100" w:line="240" w:lineRule="atLeast"/>
        <w:rPr>
          <w:sz w:val="18"/>
          <w:szCs w:val="18"/>
        </w:rPr>
      </w:pPr>
      <w:r>
        <w:rPr>
          <w:sz w:val="18"/>
          <w:szCs w:val="18"/>
        </w:rPr>
        <w:t>注：1）年利用小时数按</w:t>
      </w:r>
      <w:r>
        <w:rPr>
          <w:rFonts w:hint="eastAsia"/>
          <w:sz w:val="18"/>
          <w:szCs w:val="18"/>
          <w:lang w:val="en-US" w:eastAsia="zh-CN"/>
        </w:rPr>
        <w:t>65</w:t>
      </w:r>
      <w:r>
        <w:rPr>
          <w:sz w:val="18"/>
          <w:szCs w:val="18"/>
        </w:rPr>
        <w:t>00h计；2）类比同类锅炉，本工程锅炉脱氮前出口氮氧化物浓度＜160mg/Nm</w:t>
      </w: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>，同时采用选择性非催化还原法(SNCR)，脱硝效率为</w:t>
      </w:r>
      <w:r>
        <w:rPr>
          <w:rFonts w:hint="eastAsia"/>
          <w:sz w:val="18"/>
          <w:szCs w:val="18"/>
        </w:rPr>
        <w:t>6</w:t>
      </w:r>
      <w:r>
        <w:rPr>
          <w:sz w:val="18"/>
          <w:szCs w:val="18"/>
        </w:rPr>
        <w:t>0%；3）本工程采用布袋除尘器除尘，除尘效率99.</w:t>
      </w:r>
      <w:r>
        <w:rPr>
          <w:rFonts w:hint="eastAsia"/>
          <w:sz w:val="18"/>
          <w:szCs w:val="18"/>
        </w:rPr>
        <w:t>9</w:t>
      </w:r>
      <w:r>
        <w:rPr>
          <w:sz w:val="18"/>
          <w:szCs w:val="18"/>
        </w:rPr>
        <w:t>%。</w:t>
      </w:r>
    </w:p>
    <w:p>
      <w:pPr>
        <w:spacing w:line="480" w:lineRule="auto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2、无组织废气的控制</w:t>
      </w:r>
      <w:bookmarkStart w:id="3" w:name="_GoBack"/>
      <w:bookmarkEnd w:id="3"/>
    </w:p>
    <w:p>
      <w:pPr>
        <w:spacing w:line="520" w:lineRule="exac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1）燃料堆场</w:t>
      </w:r>
      <w:r>
        <w:rPr>
          <w:rFonts w:hint="eastAsia" w:ascii="宋体" w:hAnsi="宋体"/>
          <w:kern w:val="0"/>
          <w:sz w:val="24"/>
          <w:szCs w:val="24"/>
        </w:rPr>
        <w:t>扬尘</w:t>
      </w:r>
    </w:p>
    <w:p>
      <w:pPr>
        <w:spacing w:line="520" w:lineRule="exact"/>
        <w:rPr>
          <w:rFonts w:hint="eastAsia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本工程燃料堆场加盖顶棚，</w:t>
      </w:r>
      <w:r>
        <w:rPr>
          <w:rFonts w:hint="eastAsia" w:ascii="宋体" w:hAnsi="宋体"/>
          <w:kern w:val="0"/>
          <w:sz w:val="24"/>
          <w:szCs w:val="24"/>
        </w:rPr>
        <w:t>东西两侧全封闭</w:t>
      </w:r>
      <w:r>
        <w:rPr>
          <w:rFonts w:ascii="宋体" w:hAnsi="宋体"/>
          <w:kern w:val="0"/>
          <w:sz w:val="24"/>
          <w:szCs w:val="24"/>
        </w:rPr>
        <w:t>，生物质燃料破碎后的粒径长度≤15cm，燃料粒径较大，本身不易起尘</w:t>
      </w:r>
      <w:r>
        <w:rPr>
          <w:rFonts w:hint="eastAsia" w:ascii="宋体" w:hAnsi="宋体"/>
          <w:kern w:val="0"/>
          <w:sz w:val="24"/>
          <w:szCs w:val="24"/>
        </w:rPr>
        <w:t>。堆场扬尘主要来自燃料装卸作业。</w:t>
      </w:r>
    </w:p>
    <w:p>
      <w:pPr>
        <w:spacing w:line="520" w:lineRule="exac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kern w:val="0"/>
          <w:sz w:val="24"/>
          <w:szCs w:val="24"/>
        </w:rPr>
        <w:t>）破碎扬尘</w:t>
      </w:r>
    </w:p>
    <w:p>
      <w:pPr>
        <w:spacing w:line="52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为最大限度较少堆场扬尘影响，燃料堆场加盖顶棚，东西两侧全封闭。燃料破碎时，秸秆的水分较大（15%-40%），燃料颗粒长度较长（5cm-15cm），不易起尘，产生的破碎扬尘量很小。本项目燃料在厂内破碎时主要作业地带位于燃料堆场中部，皮带输送机附近，产生扬尘点集中，扬尘主要影响较小；而本项目堆场空间体积较大，燃料堆场东西两面全封闭，破碎扬尘影响仅限于燃料堆场范围内，对周边环境影响很小。</w:t>
      </w:r>
    </w:p>
    <w:p>
      <w:pPr>
        <w:spacing w:line="520" w:lineRule="exac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kern w:val="0"/>
          <w:sz w:val="24"/>
          <w:szCs w:val="24"/>
        </w:rPr>
        <w:t>）脱硝系统的氨气</w:t>
      </w:r>
      <w:r>
        <w:rPr>
          <w:rFonts w:ascii="宋体" w:hAnsi="宋体"/>
          <w:kern w:val="0"/>
          <w:sz w:val="24"/>
          <w:szCs w:val="24"/>
        </w:rPr>
        <w:t>无组织排放</w:t>
      </w:r>
    </w:p>
    <w:p>
      <w:pPr>
        <w:spacing w:line="52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本工程脱硝用</w:t>
      </w:r>
      <w:r>
        <w:rPr>
          <w:rFonts w:hint="eastAsia" w:ascii="宋体" w:hAnsi="宋体"/>
          <w:kern w:val="0"/>
          <w:sz w:val="24"/>
          <w:szCs w:val="24"/>
        </w:rPr>
        <w:t>的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氨水（浓度低于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20%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）</w:t>
      </w:r>
      <w:r>
        <w:rPr>
          <w:rFonts w:ascii="宋体" w:hAnsi="宋体"/>
          <w:kern w:val="0"/>
          <w:sz w:val="24"/>
          <w:szCs w:val="24"/>
        </w:rPr>
        <w:t>全部采用外购，</w:t>
      </w:r>
      <w:r>
        <w:rPr>
          <w:rFonts w:hint="eastAsia" w:ascii="宋体" w:hAnsi="宋体"/>
          <w:kern w:val="0"/>
          <w:sz w:val="24"/>
          <w:szCs w:val="24"/>
        </w:rPr>
        <w:t>由汽车运输进厂，并在室内储存。</w:t>
      </w:r>
      <w:r>
        <w:rPr>
          <w:rFonts w:ascii="宋体" w:hAnsi="宋体"/>
          <w:kern w:val="0"/>
          <w:sz w:val="24"/>
          <w:szCs w:val="24"/>
        </w:rPr>
        <w:t>由于氨与NO</w:t>
      </w:r>
      <w:r>
        <w:rPr>
          <w:rFonts w:hint="eastAsia" w:ascii="宋体" w:hAnsi="宋体"/>
          <w:kern w:val="0"/>
          <w:sz w:val="24"/>
          <w:szCs w:val="24"/>
        </w:rPr>
        <w:t>x</w:t>
      </w:r>
      <w:r>
        <w:rPr>
          <w:rFonts w:ascii="宋体" w:hAnsi="宋体"/>
          <w:kern w:val="0"/>
          <w:sz w:val="24"/>
          <w:szCs w:val="24"/>
        </w:rPr>
        <w:t>的不完全反应</w:t>
      </w:r>
      <w:r>
        <w:rPr>
          <w:rFonts w:hint="eastAsia" w:ascii="宋体" w:hAnsi="宋体"/>
          <w:kern w:val="0"/>
          <w:sz w:val="24"/>
          <w:szCs w:val="24"/>
        </w:rPr>
        <w:t>，</w:t>
      </w:r>
      <w:r>
        <w:rPr>
          <w:rFonts w:ascii="宋体" w:hAnsi="宋体"/>
          <w:kern w:val="0"/>
          <w:sz w:val="24"/>
          <w:szCs w:val="24"/>
        </w:rPr>
        <w:t>会有少量的氨与烟气一起逃逸出反应器</w:t>
      </w:r>
      <w:r>
        <w:rPr>
          <w:rFonts w:hint="eastAsia" w:ascii="宋体" w:hAnsi="宋体"/>
          <w:kern w:val="0"/>
          <w:sz w:val="24"/>
          <w:szCs w:val="24"/>
        </w:rPr>
        <w:t>，</w:t>
      </w:r>
      <w:r>
        <w:rPr>
          <w:rFonts w:ascii="宋体" w:hAnsi="宋体"/>
          <w:kern w:val="0"/>
          <w:sz w:val="24"/>
          <w:szCs w:val="24"/>
        </w:rPr>
        <w:t>这种情况称之为氨逃逸。</w:t>
      </w:r>
      <w:r>
        <w:rPr>
          <w:rFonts w:hint="eastAsia" w:ascii="宋体" w:hAnsi="宋体"/>
          <w:kern w:val="0"/>
          <w:sz w:val="24"/>
          <w:szCs w:val="24"/>
        </w:rPr>
        <w:t>根据《火电厂烟气脱硝工程技术规范 选择性非催化还原法》（HJ562-2010）氨逃逸</w:t>
      </w:r>
      <w:r>
        <w:rPr>
          <w:rFonts w:ascii="宋体" w:hAnsi="宋体"/>
          <w:kern w:val="0"/>
          <w:sz w:val="24"/>
          <w:szCs w:val="24"/>
        </w:rPr>
        <w:t>脱浓度在</w:t>
      </w:r>
      <w:r>
        <w:rPr>
          <w:rFonts w:hint="eastAsia" w:ascii="宋体" w:hAnsi="宋体"/>
          <w:kern w:val="0"/>
          <w:sz w:val="24"/>
          <w:szCs w:val="24"/>
        </w:rPr>
        <w:t>8</w:t>
      </w:r>
      <w:r>
        <w:rPr>
          <w:rFonts w:ascii="宋体" w:hAnsi="宋体"/>
          <w:kern w:val="0"/>
          <w:sz w:val="24"/>
          <w:szCs w:val="24"/>
        </w:rPr>
        <w:t>mg/Nm3</w:t>
      </w:r>
      <w:r>
        <w:rPr>
          <w:rFonts w:hint="eastAsia" w:ascii="宋体" w:hAnsi="宋体"/>
          <w:kern w:val="0"/>
          <w:sz w:val="24"/>
          <w:szCs w:val="24"/>
        </w:rPr>
        <w:t>以下</w:t>
      </w:r>
      <w:r>
        <w:rPr>
          <w:rFonts w:ascii="宋体" w:hAnsi="宋体"/>
          <w:kern w:val="0"/>
          <w:sz w:val="24"/>
          <w:szCs w:val="24"/>
        </w:rPr>
        <w:t>，因此</w:t>
      </w:r>
      <w:r>
        <w:rPr>
          <w:rFonts w:hint="eastAsia" w:ascii="宋体" w:hAnsi="宋体"/>
          <w:kern w:val="0"/>
          <w:sz w:val="24"/>
          <w:szCs w:val="24"/>
        </w:rPr>
        <w:t>本工程</w:t>
      </w:r>
      <w:r>
        <w:rPr>
          <w:rFonts w:ascii="宋体" w:hAnsi="宋体"/>
          <w:kern w:val="0"/>
          <w:sz w:val="24"/>
          <w:szCs w:val="24"/>
        </w:rPr>
        <w:t>氨逃逸的发生对环境空气质量影响很小。</w:t>
      </w:r>
    </w:p>
    <w:p>
      <w:pPr>
        <w:spacing w:line="520" w:lineRule="exac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4</w:t>
      </w:r>
      <w:r>
        <w:rPr>
          <w:rFonts w:ascii="宋体" w:hAnsi="宋体"/>
          <w:kern w:val="0"/>
          <w:sz w:val="24"/>
          <w:szCs w:val="24"/>
        </w:rPr>
        <w:t>）臭气排放情况</w:t>
      </w:r>
    </w:p>
    <w:p>
      <w:pPr>
        <w:spacing w:line="52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生物质燃料遇水易发酵腐烂产生异味。本项目燃料堆场全部加盖顶棚，有效防止雨水进入堆场。</w:t>
      </w:r>
      <w:r>
        <w:rPr>
          <w:rFonts w:hint="eastAsia" w:ascii="宋体" w:hAnsi="宋体"/>
          <w:kern w:val="0"/>
          <w:sz w:val="24"/>
          <w:szCs w:val="24"/>
        </w:rPr>
        <w:t>本项目燃料按照“先来先烧”的燃烧原则，燃料实际堆存的时间很短。</w:t>
      </w:r>
      <w:r>
        <w:rPr>
          <w:rFonts w:ascii="宋体" w:hAnsi="宋体"/>
          <w:kern w:val="0"/>
          <w:sz w:val="24"/>
          <w:szCs w:val="24"/>
        </w:rPr>
        <w:t>另外，本项目堆料场加强管理，定期翻料，避免底层燃料腐烂产生臭气。综合上述情况，本项目堆料场产生异味的可能性较小。</w:t>
      </w:r>
      <w:r>
        <w:rPr>
          <w:rFonts w:hint="eastAsia" w:ascii="宋体" w:hAnsi="宋体"/>
          <w:kern w:val="0"/>
          <w:sz w:val="24"/>
          <w:szCs w:val="24"/>
        </w:rPr>
        <w:t>由于</w:t>
      </w:r>
      <w:r>
        <w:rPr>
          <w:rFonts w:ascii="宋体" w:hAnsi="宋体"/>
          <w:kern w:val="0"/>
          <w:sz w:val="24"/>
          <w:szCs w:val="24"/>
        </w:rPr>
        <w:t>燃料堆场恶臭影响</w:t>
      </w:r>
      <w:r>
        <w:rPr>
          <w:rFonts w:hint="eastAsia" w:ascii="宋体" w:hAnsi="宋体"/>
          <w:kern w:val="0"/>
          <w:sz w:val="24"/>
          <w:szCs w:val="24"/>
        </w:rPr>
        <w:t>主要在周边50m范围内</w:t>
      </w:r>
      <w:r>
        <w:rPr>
          <w:rFonts w:ascii="宋体" w:hAnsi="宋体"/>
          <w:kern w:val="0"/>
          <w:sz w:val="24"/>
          <w:szCs w:val="24"/>
        </w:rPr>
        <w:t>，与本项目厂址</w:t>
      </w:r>
      <w:r>
        <w:rPr>
          <w:rFonts w:hint="eastAsia" w:ascii="宋体" w:hAnsi="宋体"/>
          <w:kern w:val="0"/>
          <w:sz w:val="24"/>
          <w:szCs w:val="24"/>
        </w:rPr>
        <w:t>500m范围内无敏感点分布</w:t>
      </w:r>
      <w:r>
        <w:rPr>
          <w:rFonts w:ascii="宋体" w:hAnsi="宋体"/>
          <w:kern w:val="0"/>
          <w:sz w:val="24"/>
          <w:szCs w:val="24"/>
        </w:rPr>
        <w:t>，且本项目燃料堆场加盖顶棚，</w:t>
      </w:r>
      <w:r>
        <w:rPr>
          <w:rFonts w:hint="eastAsia" w:ascii="宋体" w:hAnsi="宋体"/>
          <w:kern w:val="0"/>
          <w:sz w:val="24"/>
          <w:szCs w:val="24"/>
        </w:rPr>
        <w:t>项目产生的恶臭</w:t>
      </w:r>
      <w:r>
        <w:rPr>
          <w:rFonts w:ascii="宋体" w:hAnsi="宋体"/>
          <w:kern w:val="0"/>
          <w:sz w:val="24"/>
          <w:szCs w:val="24"/>
        </w:rPr>
        <w:t>对周边</w:t>
      </w:r>
      <w:r>
        <w:rPr>
          <w:rFonts w:hint="eastAsia" w:ascii="宋体" w:hAnsi="宋体"/>
          <w:kern w:val="0"/>
          <w:sz w:val="24"/>
          <w:szCs w:val="24"/>
        </w:rPr>
        <w:t>环境</w:t>
      </w:r>
      <w:r>
        <w:rPr>
          <w:rFonts w:ascii="宋体" w:hAnsi="宋体"/>
          <w:kern w:val="0"/>
          <w:sz w:val="24"/>
          <w:szCs w:val="24"/>
        </w:rPr>
        <w:t>影响很小。</w:t>
      </w:r>
    </w:p>
    <w:p>
      <w:pPr>
        <w:spacing w:line="52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恶臭主要污染因子为发酵过程产生的氨和硫化氢，硫化氢主要为有机硫发酵产生，而本项目生物质燃料含硫基本为无机硫，因此本项目基本无硫化氢产生</w:t>
      </w:r>
      <w:r>
        <w:rPr>
          <w:rFonts w:ascii="宋体" w:hAnsi="宋体"/>
          <w:kern w:val="0"/>
          <w:sz w:val="24"/>
          <w:szCs w:val="24"/>
        </w:rPr>
        <w:t>。</w:t>
      </w:r>
    </w:p>
    <w:p>
      <w:pPr>
        <w:spacing w:line="520" w:lineRule="exac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kern w:val="0"/>
          <w:sz w:val="24"/>
          <w:szCs w:val="24"/>
        </w:rPr>
        <w:t>）灰渣仓扬尘</w:t>
      </w:r>
    </w:p>
    <w:p>
      <w:pPr>
        <w:spacing w:line="52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灰渣的输送、贮存和外运基本是在密闭的环境中进行，</w:t>
      </w:r>
      <w:r>
        <w:rPr>
          <w:rFonts w:ascii="宋体" w:hAnsi="宋体"/>
          <w:kern w:val="0"/>
          <w:sz w:val="24"/>
          <w:szCs w:val="24"/>
        </w:rPr>
        <w:t>仅在装车过程中或是打包机打包时产生少量扬尘，影响范围</w:t>
      </w:r>
      <w:r>
        <w:rPr>
          <w:rFonts w:hint="eastAsia" w:ascii="宋体" w:hAnsi="宋体"/>
          <w:kern w:val="0"/>
          <w:sz w:val="24"/>
          <w:szCs w:val="24"/>
        </w:rPr>
        <w:t>很小</w:t>
      </w:r>
      <w:r>
        <w:rPr>
          <w:rFonts w:ascii="宋体" w:hAnsi="宋体"/>
          <w:kern w:val="0"/>
          <w:sz w:val="24"/>
          <w:szCs w:val="24"/>
        </w:rPr>
        <w:t>，不会影响到厂外</w:t>
      </w:r>
      <w:r>
        <w:rPr>
          <w:rFonts w:hint="eastAsia" w:ascii="宋体" w:hAnsi="宋体"/>
          <w:kern w:val="0"/>
          <w:sz w:val="24"/>
          <w:szCs w:val="24"/>
        </w:rPr>
        <w:t>。</w:t>
      </w:r>
    </w:p>
    <w:p>
      <w:pPr>
        <w:spacing w:line="480" w:lineRule="auto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（二）水污染防治措施</w:t>
      </w:r>
    </w:p>
    <w:p>
      <w:pPr>
        <w:spacing w:line="52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bookmarkStart w:id="0" w:name="_Toc305160633"/>
      <w:bookmarkStart w:id="1" w:name="_Toc302297721"/>
      <w:bookmarkStart w:id="2" w:name="_Toc249534107"/>
      <w:r>
        <w:rPr>
          <w:rFonts w:ascii="宋体" w:hAnsi="宋体"/>
          <w:kern w:val="0"/>
          <w:sz w:val="24"/>
          <w:szCs w:val="24"/>
        </w:rPr>
        <w:t>项目按照“清污分流”、“一水多用”的原则对各类废水进行处理，经各废水处理系统处理后的废水尽量重复利用。工程废水产生情况如下：</w:t>
      </w:r>
    </w:p>
    <w:p>
      <w:pPr>
        <w:spacing w:line="520" w:lineRule="exac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（1）冷却塔排污水</w:t>
      </w:r>
    </w:p>
    <w:p>
      <w:pPr>
        <w:spacing w:line="52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本工程循环冷却水通过通风冷却塔冷却后重复利用。</w:t>
      </w:r>
    </w:p>
    <w:p>
      <w:pPr>
        <w:spacing w:line="520" w:lineRule="exac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</w:t>
      </w:r>
      <w:r>
        <w:rPr>
          <w:rFonts w:hint="eastAsia" w:ascii="宋体" w:hAnsi="宋体"/>
          <w:kern w:val="0"/>
          <w:sz w:val="24"/>
          <w:szCs w:val="24"/>
        </w:rPr>
        <w:t>2</w:t>
      </w:r>
      <w:r>
        <w:rPr>
          <w:rFonts w:ascii="宋体" w:hAnsi="宋体"/>
          <w:kern w:val="0"/>
          <w:sz w:val="24"/>
          <w:szCs w:val="24"/>
        </w:rPr>
        <w:t>）锅炉排污降温井排污水</w:t>
      </w:r>
    </w:p>
    <w:p>
      <w:pPr>
        <w:spacing w:line="52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锅炉排污降温水经降温后</w:t>
      </w:r>
      <w:r>
        <w:rPr>
          <w:rFonts w:hint="eastAsia" w:ascii="宋体" w:hAnsi="宋体"/>
          <w:kern w:val="0"/>
          <w:sz w:val="24"/>
          <w:szCs w:val="24"/>
        </w:rPr>
        <w:t>回用至冷却塔。</w:t>
      </w:r>
    </w:p>
    <w:p>
      <w:pPr>
        <w:spacing w:line="520" w:lineRule="exac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</w:t>
      </w:r>
      <w:r>
        <w:rPr>
          <w:rFonts w:hint="eastAsia" w:ascii="宋体" w:hAnsi="宋体"/>
          <w:kern w:val="0"/>
          <w:sz w:val="24"/>
          <w:szCs w:val="24"/>
        </w:rPr>
        <w:t>3</w:t>
      </w:r>
      <w:r>
        <w:rPr>
          <w:rFonts w:ascii="宋体" w:hAnsi="宋体"/>
          <w:kern w:val="0"/>
          <w:sz w:val="24"/>
          <w:szCs w:val="24"/>
        </w:rPr>
        <w:t>）化学水处理系统排水</w:t>
      </w:r>
    </w:p>
    <w:p>
      <w:pPr>
        <w:spacing w:line="52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化学水处理系统排水</w:t>
      </w:r>
      <w:r>
        <w:rPr>
          <w:rFonts w:hint="eastAsia" w:ascii="宋体" w:hAnsi="宋体"/>
          <w:kern w:val="0"/>
          <w:sz w:val="24"/>
          <w:szCs w:val="24"/>
        </w:rPr>
        <w:t>回用于冷却塔</w:t>
      </w:r>
      <w:r>
        <w:rPr>
          <w:rFonts w:ascii="宋体" w:hAnsi="宋体"/>
          <w:kern w:val="0"/>
          <w:sz w:val="24"/>
          <w:szCs w:val="24"/>
        </w:rPr>
        <w:t>。</w:t>
      </w:r>
    </w:p>
    <w:p>
      <w:pPr>
        <w:spacing w:line="520" w:lineRule="exac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</w:t>
      </w:r>
      <w:r>
        <w:rPr>
          <w:rFonts w:hint="eastAsia" w:ascii="宋体" w:hAnsi="宋体"/>
          <w:kern w:val="0"/>
          <w:sz w:val="24"/>
          <w:szCs w:val="24"/>
        </w:rPr>
        <w:t>4</w:t>
      </w:r>
      <w:r>
        <w:rPr>
          <w:rFonts w:ascii="宋体" w:hAnsi="宋体"/>
          <w:kern w:val="0"/>
          <w:sz w:val="24"/>
          <w:szCs w:val="24"/>
        </w:rPr>
        <w:t>）生活污水</w:t>
      </w:r>
    </w:p>
    <w:p>
      <w:pPr>
        <w:spacing w:line="52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本项目近期</w:t>
      </w:r>
      <w:r>
        <w:rPr>
          <w:rFonts w:hint="eastAsia" w:ascii="宋体" w:hAnsi="宋体"/>
          <w:kern w:val="0"/>
          <w:sz w:val="24"/>
          <w:szCs w:val="24"/>
        </w:rPr>
        <w:t>生活</w:t>
      </w:r>
      <w:r>
        <w:rPr>
          <w:rFonts w:ascii="宋体" w:hAnsi="宋体"/>
          <w:kern w:val="0"/>
          <w:sz w:val="24"/>
          <w:szCs w:val="24"/>
        </w:rPr>
        <w:t>污水</w:t>
      </w:r>
      <w:r>
        <w:rPr>
          <w:rFonts w:hint="eastAsia" w:ascii="宋体" w:hAnsi="宋体"/>
          <w:kern w:val="0"/>
          <w:sz w:val="24"/>
          <w:szCs w:val="24"/>
        </w:rPr>
        <w:t>经化粪池处理后，满足《城市污水再生利用工业用水水质》（GB/T 19923- 2005）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接管常安水务</w:t>
      </w:r>
      <w:r>
        <w:rPr>
          <w:rFonts w:hint="eastAsia" w:ascii="宋体" w:hAnsi="宋体"/>
          <w:kern w:val="0"/>
          <w:sz w:val="24"/>
          <w:szCs w:val="24"/>
        </w:rPr>
        <w:t>。</w:t>
      </w:r>
    </w:p>
    <w:p>
      <w:pPr>
        <w:spacing w:line="520" w:lineRule="exact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本项目废水排放及处理情况见表2.1-4。</w:t>
      </w:r>
    </w:p>
    <w:p>
      <w:pPr>
        <w:spacing w:line="520" w:lineRule="exact"/>
        <w:ind w:firstLine="480" w:firstLineChars="200"/>
        <w:rPr>
          <w:rFonts w:hint="eastAsia" w:ascii="宋体" w:hAnsi="宋体"/>
          <w:kern w:val="0"/>
          <w:sz w:val="24"/>
          <w:szCs w:val="24"/>
        </w:rPr>
      </w:pPr>
    </w:p>
    <w:p>
      <w:pPr>
        <w:spacing w:line="500" w:lineRule="exact"/>
        <w:jc w:val="center"/>
        <w:rPr>
          <w:b/>
        </w:rPr>
      </w:pPr>
      <w:r>
        <w:rPr>
          <w:b/>
          <w:sz w:val="24"/>
        </w:rPr>
        <w:t>表</w:t>
      </w:r>
      <w:r>
        <w:rPr>
          <w:rFonts w:hint="eastAsia"/>
          <w:b/>
          <w:sz w:val="24"/>
        </w:rPr>
        <w:t>2.1</w:t>
      </w:r>
      <w:r>
        <w:rPr>
          <w:b/>
          <w:sz w:val="24"/>
        </w:rPr>
        <w:t>-</w:t>
      </w:r>
      <w:r>
        <w:rPr>
          <w:rFonts w:hint="eastAsia"/>
          <w:b/>
          <w:sz w:val="24"/>
        </w:rPr>
        <w:t>4</w:t>
      </w:r>
      <w:r>
        <w:rPr>
          <w:b/>
          <w:sz w:val="24"/>
        </w:rPr>
        <w:t xml:space="preserve">      项目废水排放情况表</w:t>
      </w:r>
    </w:p>
    <w:tbl>
      <w:tblPr>
        <w:tblStyle w:val="6"/>
        <w:tblW w:w="7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640"/>
        <w:gridCol w:w="1015"/>
        <w:gridCol w:w="3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tblHeader/>
        </w:trPr>
        <w:tc>
          <w:tcPr>
            <w:tcW w:w="611" w:type="dxa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jc w:val="center"/>
            </w:pPr>
            <w:r>
              <w:t>废水及处理设施</w:t>
            </w:r>
          </w:p>
        </w:tc>
        <w:tc>
          <w:tcPr>
            <w:tcW w:w="382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处理方式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1" w:type="dxa"/>
            <w:vMerge w:val="restart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640" w:type="dxa"/>
            <w:vMerge w:val="restart"/>
            <w:vAlign w:val="center"/>
          </w:tcPr>
          <w:p>
            <w:pPr>
              <w:jc w:val="center"/>
            </w:pPr>
            <w:r>
              <w:t>冷却塔排污水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产生量</w:t>
            </w:r>
          </w:p>
        </w:tc>
        <w:tc>
          <w:tcPr>
            <w:tcW w:w="3824" w:type="dxa"/>
            <w:vMerge w:val="restart"/>
            <w:vAlign w:val="center"/>
          </w:tcPr>
          <w:p>
            <w:pPr>
              <w:spacing w:line="380" w:lineRule="exact"/>
            </w:pPr>
            <w:r>
              <w:rPr>
                <w:rFonts w:hint="eastAsia"/>
              </w:rPr>
              <w:t>属清净下水，直接排入园区雨水管网</w:t>
            </w:r>
          </w:p>
          <w:p>
            <w:pPr>
              <w:spacing w:line="380" w:lineRule="exact"/>
            </w:pPr>
            <w:r>
              <w:rPr>
                <w:rFonts w:hint="eastAsia"/>
              </w:rPr>
              <w:t>水质：</w:t>
            </w:r>
          </w:p>
          <w:p>
            <w:pPr>
              <w:spacing w:line="380" w:lineRule="exact"/>
            </w:pPr>
            <w:r>
              <w:rPr>
                <w:rFonts w:hint="eastAsia"/>
              </w:rPr>
              <w:t>COD≤10mg/L，pH值:6~9，SS≤20mg/L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排放量</w:t>
            </w:r>
          </w:p>
        </w:tc>
        <w:tc>
          <w:tcPr>
            <w:tcW w:w="382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1" w:type="dxa"/>
            <w:vMerge w:val="restart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640" w:type="dxa"/>
            <w:vMerge w:val="restart"/>
            <w:vAlign w:val="center"/>
          </w:tcPr>
          <w:p>
            <w:pPr>
              <w:jc w:val="center"/>
            </w:pPr>
            <w:r>
              <w:t>生活污水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产生量</w:t>
            </w:r>
          </w:p>
        </w:tc>
        <w:tc>
          <w:tcPr>
            <w:tcW w:w="3824" w:type="dxa"/>
            <w:vMerge w:val="restart"/>
            <w:vAlign w:val="center"/>
          </w:tcPr>
          <w:p>
            <w:pPr>
              <w:spacing w:line="380" w:lineRule="exact"/>
            </w:pPr>
            <w:r>
              <w:rPr>
                <w:rFonts w:hint="eastAsia"/>
              </w:rPr>
              <w:t>近期经化粪池处理后</w:t>
            </w:r>
            <w:r>
              <w:rPr>
                <w:rFonts w:hint="eastAsia"/>
                <w:lang w:eastAsia="zh-CN"/>
              </w:rPr>
              <w:t>接管常安水务市政管网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排放量</w:t>
            </w:r>
          </w:p>
        </w:tc>
        <w:tc>
          <w:tcPr>
            <w:tcW w:w="3824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spacing w:line="520" w:lineRule="exac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kern w:val="0"/>
          <w:sz w:val="24"/>
          <w:szCs w:val="24"/>
        </w:rPr>
        <w:t>）锅炉化学清洗废水</w:t>
      </w:r>
    </w:p>
    <w:p>
      <w:pPr>
        <w:spacing w:line="52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按照《火力发电厂锅炉化学清洗导则》要求的标准，火电项目在锅炉试运行之前要对其进行一次化学清洗。锅炉停炉进行化学清洗产生废水的主要污染物为pH值、COD、氨氮及SS，清洗过程分为水洗、碱洗、EDTA铵盐清洗等阶段，几个阶段的化学清洗废水产生量共约200m3，在锅炉试运行之前清洗一次，之后每6～8年清洗一次。锅炉化学清洗过程是委托专业的酸洗公司开展，酸洗公司配备清洗箱对锅炉进行分阶段循环清洗，各阶段清洗剂在清洗箱配备，经过清洗泵打循环后回到清洗箱，清洗废液由酸洗公司委托有资质的单位处理。</w:t>
      </w:r>
    </w:p>
    <w:bookmarkEnd w:id="0"/>
    <w:bookmarkEnd w:id="1"/>
    <w:bookmarkEnd w:id="2"/>
    <w:p>
      <w:pPr>
        <w:spacing w:line="520" w:lineRule="exact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由此可见，本项目生产过程中不产生废水，水污染主要来自生活污水，厂区生活污水经化粪池+膜生物反应器（MBR）处理后</w:t>
      </w:r>
      <w:r>
        <w:rPr>
          <w:rFonts w:ascii="宋体" w:hAnsi="宋体"/>
          <w:kern w:val="0"/>
          <w:sz w:val="24"/>
          <w:szCs w:val="24"/>
        </w:rPr>
        <w:t>处理达标后</w:t>
      </w:r>
      <w:r>
        <w:rPr>
          <w:rFonts w:hint="eastAsia" w:ascii="宋体" w:hAnsi="宋体"/>
          <w:kern w:val="0"/>
          <w:sz w:val="24"/>
          <w:szCs w:val="24"/>
        </w:rPr>
        <w:t>，回用至冷渣箱，按</w:t>
      </w:r>
      <w:r>
        <w:rPr>
          <w:rFonts w:ascii="宋体" w:hAnsi="宋体"/>
          <w:kern w:val="0"/>
          <w:sz w:val="24"/>
          <w:szCs w:val="24"/>
        </w:rPr>
        <w:t>《</w:t>
      </w:r>
      <w:r>
        <w:rPr>
          <w:rFonts w:hint="eastAsia" w:ascii="宋体" w:hAnsi="宋体"/>
          <w:kern w:val="0"/>
          <w:sz w:val="24"/>
          <w:szCs w:val="24"/>
        </w:rPr>
        <w:t>城市污水再生利用工业用水水质</w:t>
      </w:r>
      <w:r>
        <w:rPr>
          <w:rFonts w:ascii="宋体" w:hAnsi="宋体"/>
          <w:kern w:val="0"/>
          <w:sz w:val="24"/>
          <w:szCs w:val="24"/>
        </w:rPr>
        <w:t>》（GB</w:t>
      </w:r>
      <w:r>
        <w:rPr>
          <w:rFonts w:hint="eastAsia" w:ascii="宋体" w:hAnsi="宋体"/>
          <w:kern w:val="0"/>
          <w:sz w:val="24"/>
          <w:szCs w:val="24"/>
        </w:rPr>
        <w:t>/T 19923</w:t>
      </w:r>
      <w:r>
        <w:rPr>
          <w:rFonts w:ascii="宋体" w:hAnsi="宋体"/>
          <w:kern w:val="0"/>
          <w:sz w:val="24"/>
          <w:szCs w:val="24"/>
        </w:rPr>
        <w:t>-</w:t>
      </w:r>
      <w:r>
        <w:rPr>
          <w:rFonts w:hint="eastAsia" w:ascii="宋体" w:hAnsi="宋体"/>
          <w:kern w:val="0"/>
          <w:sz w:val="24"/>
          <w:szCs w:val="24"/>
        </w:rPr>
        <w:t>2005</w:t>
      </w:r>
      <w:r>
        <w:rPr>
          <w:rFonts w:ascii="宋体" w:hAnsi="宋体"/>
          <w:kern w:val="0"/>
          <w:sz w:val="24"/>
          <w:szCs w:val="24"/>
        </w:rPr>
        <w:t>）</w:t>
      </w:r>
      <w:r>
        <w:rPr>
          <w:rFonts w:hint="eastAsia" w:ascii="宋体" w:hAnsi="宋体"/>
          <w:kern w:val="0"/>
          <w:sz w:val="24"/>
          <w:szCs w:val="24"/>
        </w:rPr>
        <w:t>用于回用</w:t>
      </w:r>
      <w:r>
        <w:rPr>
          <w:rFonts w:ascii="宋体" w:hAnsi="宋体"/>
          <w:kern w:val="0"/>
          <w:sz w:val="24"/>
          <w:szCs w:val="24"/>
        </w:rPr>
        <w:t>干灰喷水加湿</w:t>
      </w:r>
      <w:r>
        <w:rPr>
          <w:rFonts w:hint="eastAsia" w:ascii="宋体" w:hAnsi="宋体"/>
          <w:kern w:val="0"/>
          <w:sz w:val="24"/>
          <w:szCs w:val="24"/>
        </w:rPr>
        <w:t>、场地冲洗、绿化。遇到雨季时有外排，及处理后属清净下水，达到《污水综合排放标准》（GB8978-1996）一级标准后直接排入园区雨水管网。</w:t>
      </w:r>
    </w:p>
    <w:p>
      <w:pPr>
        <w:spacing w:line="480" w:lineRule="auto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（三）固废污染防治</w:t>
      </w:r>
    </w:p>
    <w:p>
      <w:pPr>
        <w:spacing w:line="52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（1）灰渣：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本项目</w:t>
      </w:r>
      <w:r>
        <w:rPr>
          <w:rFonts w:ascii="宋体" w:hAnsi="宋体"/>
          <w:kern w:val="0"/>
          <w:sz w:val="24"/>
          <w:szCs w:val="24"/>
        </w:rPr>
        <w:t>工程产灰渣用汽车运输至用户综合利用。</w:t>
      </w:r>
      <w:r>
        <w:rPr>
          <w:rFonts w:hint="eastAsia" w:ascii="宋体" w:hAnsi="宋体"/>
          <w:kern w:val="0"/>
          <w:sz w:val="24"/>
          <w:szCs w:val="24"/>
        </w:rPr>
        <w:t>目前建设单位已经与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有资质处理企业签</w:t>
      </w:r>
      <w:r>
        <w:rPr>
          <w:rFonts w:hint="eastAsia" w:ascii="宋体" w:hAnsi="宋体"/>
          <w:kern w:val="0"/>
          <w:sz w:val="24"/>
          <w:szCs w:val="24"/>
        </w:rPr>
        <w:t>订灰渣综合利用协议，能保证本电厂灰渣100%综合利用</w:t>
      </w:r>
      <w:r>
        <w:rPr>
          <w:rFonts w:ascii="宋体" w:hAnsi="宋体"/>
          <w:kern w:val="0"/>
          <w:sz w:val="24"/>
          <w:szCs w:val="24"/>
        </w:rPr>
        <w:t>。</w:t>
      </w:r>
    </w:p>
    <w:p>
      <w:pPr>
        <w:spacing w:line="520" w:lineRule="exact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（2）生活垃圾：厂区内设置一定数量的垃圾桶和垃圾箱。本项目生活垃圾由专人负责清理集中到垃圾中转站内暂存，再由环卫站运送到垃圾填埋场集中处理。</w:t>
      </w:r>
    </w:p>
    <w:p>
      <w:pPr>
        <w:spacing w:line="480" w:lineRule="auto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（四）噪声污染防治</w:t>
      </w:r>
    </w:p>
    <w:p>
      <w:pPr>
        <w:spacing w:line="52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本项目的噪声源主要有锅炉送风机、汽轮机、发电机和引风机进排气噪声、空压机房的空压机进排气噪声、水泵运转以及冷却塔运行噪声等。本项目的噪声源采取以下防治措施：（1）选用低噪声设备，在安装过程中采取减振措施；（2）对高噪设备进行密封，安装消声、减振实施。（3）在工程设计时，对厂区进行合理的布置，有针对性地对场区进行绿化，达到降噪目的。</w:t>
      </w:r>
      <w:r>
        <w:rPr>
          <w:rFonts w:hint="eastAsia" w:ascii="宋体" w:hAnsi="宋体"/>
          <w:kern w:val="0"/>
          <w:sz w:val="24"/>
          <w:szCs w:val="24"/>
        </w:rPr>
        <w:t>（3）对</w:t>
      </w:r>
      <w:r>
        <w:rPr>
          <w:rFonts w:ascii="宋体" w:hAnsi="宋体"/>
          <w:kern w:val="0"/>
          <w:sz w:val="24"/>
          <w:szCs w:val="24"/>
        </w:rPr>
        <w:t>发电</w:t>
      </w:r>
      <w:r>
        <w:rPr>
          <w:rFonts w:hint="eastAsia" w:ascii="宋体" w:hAnsi="宋体"/>
          <w:kern w:val="0"/>
          <w:sz w:val="24"/>
          <w:szCs w:val="24"/>
        </w:rPr>
        <w:t>机、</w:t>
      </w:r>
      <w:r>
        <w:rPr>
          <w:rFonts w:ascii="宋体" w:hAnsi="宋体"/>
          <w:kern w:val="0"/>
          <w:sz w:val="24"/>
          <w:szCs w:val="24"/>
        </w:rPr>
        <w:t>汽轮机</w:t>
      </w:r>
      <w:r>
        <w:rPr>
          <w:rFonts w:hint="eastAsia" w:ascii="宋体" w:hAnsi="宋体"/>
          <w:kern w:val="0"/>
          <w:sz w:val="24"/>
          <w:szCs w:val="24"/>
        </w:rPr>
        <w:t>、压缩机、引风机等噪声源较强的设备采取工程控制措施，建隔音墙或将设备安装在室内等措施，确保厂界噪声达到《</w:t>
      </w:r>
      <w:r>
        <w:rPr>
          <w:rFonts w:ascii="宋体" w:hAnsi="宋体"/>
          <w:kern w:val="0"/>
          <w:sz w:val="24"/>
          <w:szCs w:val="24"/>
        </w:rPr>
        <w:t>工业企业厂界环境噪声排放标准</w:t>
      </w:r>
      <w:r>
        <w:rPr>
          <w:rFonts w:hint="eastAsia" w:ascii="宋体" w:hAnsi="宋体"/>
          <w:kern w:val="0"/>
          <w:sz w:val="24"/>
          <w:szCs w:val="24"/>
        </w:rPr>
        <w:t>》（GBl2348-2008）3类标准。</w:t>
      </w:r>
    </w:p>
    <w:p>
      <w:pPr>
        <w:spacing w:line="520" w:lineRule="exac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（五）厂区绿化、硬化</w:t>
      </w:r>
    </w:p>
    <w:p>
      <w:pPr>
        <w:spacing w:line="520" w:lineRule="exact"/>
        <w:ind w:firstLine="480" w:firstLineChars="200"/>
        <w:rPr>
          <w:rFonts w:hint="eastAsia" w:ascii="Swis721 WGL4 BT" w:hAnsi="Swis721 WGL4 BT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厂区绿化、硬化既是我司美化环境的措施，也是抑制厂内无组织扬尘和噪声的一项措施，按照场内用地总平面图布置，凡无构筑物的地面及交通用地全部进行绿化或硬化。</w:t>
      </w:r>
      <w:r>
        <w:rPr>
          <w:rFonts w:hint="eastAsia" w:ascii="Swis721 WGL4 BT" w:hAnsi="Swis721 WGL4 BT"/>
          <w:kern w:val="0"/>
          <w:sz w:val="24"/>
          <w:szCs w:val="24"/>
        </w:rPr>
        <w:t xml:space="preserve"> </w:t>
      </w:r>
    </w:p>
    <w:p>
      <w:pPr>
        <w:pStyle w:val="9"/>
        <w:numPr>
          <w:ilvl w:val="0"/>
          <w:numId w:val="3"/>
        </w:numPr>
        <w:spacing w:line="480" w:lineRule="auto"/>
        <w:ind w:firstLineChars="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环境保护“三同时”执行时的资金投入</w:t>
      </w:r>
    </w:p>
    <w:p>
      <w:pPr>
        <w:spacing w:line="520" w:lineRule="exact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按照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江苏润环环境科技有限公司</w:t>
      </w:r>
      <w:r>
        <w:rPr>
          <w:rFonts w:ascii="宋体" w:hAnsi="宋体"/>
          <w:kern w:val="0"/>
          <w:sz w:val="24"/>
          <w:szCs w:val="24"/>
        </w:rPr>
        <w:t>编制完成《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江苏海迅理昂新能源电力有限公司海安理昂生物质发电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2*75t/h次高温次高压循环流化床锅炉配套2*15MW抽凝式汽轮机发电机组</w:t>
      </w:r>
      <w:r>
        <w:rPr>
          <w:rFonts w:ascii="宋体" w:hAnsi="宋体"/>
          <w:kern w:val="0"/>
          <w:sz w:val="24"/>
          <w:szCs w:val="24"/>
        </w:rPr>
        <w:t>环境影响报告书》</w:t>
      </w:r>
      <w:r>
        <w:rPr>
          <w:rFonts w:hint="eastAsia" w:ascii="宋体" w:hAnsi="宋体"/>
          <w:kern w:val="0"/>
          <w:sz w:val="24"/>
          <w:szCs w:val="24"/>
        </w:rPr>
        <w:t>，建设项目的总投资资金为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2.1</w:t>
      </w:r>
      <w:r>
        <w:rPr>
          <w:rFonts w:hint="eastAsia" w:ascii="宋体" w:hAnsi="宋体"/>
          <w:kern w:val="0"/>
          <w:sz w:val="24"/>
          <w:szCs w:val="24"/>
        </w:rPr>
        <w:t>亿元，环境保护为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3000万</w:t>
      </w:r>
      <w:r>
        <w:rPr>
          <w:rFonts w:hint="eastAsia" w:ascii="宋体" w:hAnsi="宋体"/>
          <w:kern w:val="0"/>
          <w:sz w:val="24"/>
          <w:szCs w:val="24"/>
        </w:rPr>
        <w:t>元。</w:t>
      </w:r>
    </w:p>
    <w:p>
      <w:pPr>
        <w:spacing w:line="520" w:lineRule="exact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在项目建设过程中，我们始终坚持环境保护优先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的</w:t>
      </w:r>
      <w:r>
        <w:rPr>
          <w:rFonts w:hint="eastAsia" w:ascii="宋体" w:hAnsi="宋体"/>
          <w:kern w:val="0"/>
          <w:sz w:val="24"/>
          <w:szCs w:val="24"/>
        </w:rPr>
        <w:t>原则，环评报告上列出的污染防治措施，我司全部进行了落实。对于建设项目的环境保护投资上，我们已经逐步树立起一种理念：平时要精打细算，但对于环境污染防治，投资一定要服从于达标排放原则，污染物总量控制原则，清洁生产原则，循环经济建设原则，这不仅是企业的社会责任所在，也是企业自身发展的需要，不重视环境保护的企业就是不重视企业自身的发展机遇，牢记理昂使命：绿水青山就是金山银山，理昂生态留住白云蓝天。</w:t>
      </w:r>
    </w:p>
    <w:p>
      <w:pPr>
        <w:spacing w:line="520" w:lineRule="exac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四、加强企业环境保护管理，保证经济建设和环境保护协调发展</w:t>
      </w:r>
    </w:p>
    <w:p>
      <w:pPr>
        <w:spacing w:line="520" w:lineRule="exact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环境保护是我国的一项基本国策，经过数十年的推进，环境意识已成为全社会的共识，从我司的发展来看，环境保护绝对不是对经济发展的限制，而是对经济发展的优化，坚持环境保护优先的企业，将会更有生命力和竞争力。</w:t>
      </w:r>
    </w:p>
    <w:p>
      <w:pPr>
        <w:spacing w:line="520" w:lineRule="exact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为了做好环境保护工作，我司一方面要继续加大环境保护的投入，另一方面要抓好环境保护的管理，企业的环境保护管理，上承国家环境保护的法律法规，下达企业员工的环境保护意识觉悟和污染防治措施的落实，是企业做好环境保护工作的重要保障，同时环境保护也是企业生存的生命线。</w:t>
      </w:r>
    </w:p>
    <w:p>
      <w:pPr>
        <w:spacing w:line="520" w:lineRule="exact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公司设置了安环管理部，配置一人专管人员，今后根据需要还可进一步引进一些高素质人才，充实公司的环境保护管理力量。安环管理部主要负责公司的安全环保培训，建立、健全各项管理制度，并进行检查、落实、考核、奖惩。确保国家的相关政策落实贯彻执行。</w:t>
      </w:r>
    </w:p>
    <w:p>
      <w:pPr>
        <w:spacing w:line="520" w:lineRule="exact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以上是我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海迅理昂新能源电力有限公司</w:t>
      </w:r>
      <w:r>
        <w:rPr>
          <w:rFonts w:hint="eastAsia" w:ascii="宋体" w:hAnsi="宋体"/>
          <w:kern w:val="0"/>
          <w:sz w:val="24"/>
          <w:szCs w:val="24"/>
        </w:rPr>
        <w:t>中水、气、噪、固废污染防治设施落实情况的一个简单汇报。对于环境保护“三同时”工作，我们尽管做了很大努力，但由于水平有限，可能还有许多不到位的地方，但我们有信心把这项工作做好，让政府满意，让周边群众满意。</w:t>
      </w:r>
    </w:p>
    <w:p>
      <w:pPr>
        <w:spacing w:line="520" w:lineRule="exact"/>
        <w:ind w:firstLine="480" w:firstLineChars="200"/>
        <w:rPr>
          <w:rFonts w:hint="eastAsia" w:ascii="宋体" w:hAnsi="宋体"/>
          <w:kern w:val="0"/>
          <w:sz w:val="24"/>
          <w:szCs w:val="24"/>
        </w:rPr>
      </w:pPr>
    </w:p>
    <w:p>
      <w:pPr>
        <w:spacing w:line="520" w:lineRule="exact"/>
        <w:ind w:firstLine="480" w:firstLineChars="200"/>
        <w:rPr>
          <w:rFonts w:hint="eastAsia" w:ascii="宋体" w:hAnsi="宋体"/>
          <w:kern w:val="0"/>
          <w:sz w:val="24"/>
          <w:szCs w:val="24"/>
        </w:rPr>
      </w:pPr>
    </w:p>
    <w:p>
      <w:pPr>
        <w:spacing w:line="520" w:lineRule="exact"/>
        <w:ind w:firstLine="480" w:firstLineChars="200"/>
        <w:rPr>
          <w:rFonts w:hint="eastAsia" w:ascii="宋体" w:hAnsi="宋体"/>
          <w:kern w:val="0"/>
          <w:sz w:val="24"/>
          <w:szCs w:val="24"/>
        </w:rPr>
      </w:pPr>
    </w:p>
    <w:p>
      <w:pPr>
        <w:spacing w:line="520" w:lineRule="exact"/>
        <w:ind w:firstLine="4320" w:firstLineChars="1800"/>
        <w:rPr>
          <w:rFonts w:hint="eastAsia" w:ascii="宋体" w:hAnsi="宋体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kern w:val="0"/>
          <w:sz w:val="24"/>
          <w:szCs w:val="24"/>
          <w:lang w:eastAsia="zh-CN"/>
        </w:rPr>
        <w:t>江苏海迅理昂新能源电力有限公司</w:t>
      </w:r>
    </w:p>
    <w:p>
      <w:pPr>
        <w:spacing w:line="520" w:lineRule="exact"/>
        <w:ind w:firstLine="6240" w:firstLineChars="26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二〇一八</w:t>
      </w:r>
      <w:r>
        <w:rPr>
          <w:rFonts w:ascii="宋体" w:hAnsi="宋体"/>
          <w:kern w:val="0"/>
          <w:sz w:val="24"/>
          <w:szCs w:val="24"/>
        </w:rPr>
        <w:t>年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四</w:t>
      </w:r>
      <w:r>
        <w:rPr>
          <w:rFonts w:ascii="宋体" w:hAnsi="宋体"/>
          <w:kern w:val="0"/>
          <w:sz w:val="24"/>
          <w:szCs w:val="24"/>
        </w:rPr>
        <w:t>月</w:t>
      </w:r>
    </w:p>
    <w:p>
      <w:pPr>
        <w:spacing w:line="52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wis721 WGL4 BT">
    <w:altName w:val="AmdtSymbols"/>
    <w:panose1 w:val="020B0504020202020204"/>
    <w:charset w:val="00"/>
    <w:family w:val="swiss"/>
    <w:pitch w:val="default"/>
    <w:sig w:usb0="00000000" w:usb1="00000000" w:usb2="00000000" w:usb3="00000000" w:csb0="0000009F" w:csb1="00000000"/>
  </w:font>
  <w:font w:name="AmdtSymbols">
    <w:panose1 w:val="02000500000000020004"/>
    <w:charset w:val="00"/>
    <w:family w:val="auto"/>
    <w:pitch w:val="default"/>
    <w:sig w:usb0="00000001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22DB"/>
    <w:multiLevelType w:val="multilevel"/>
    <w:tmpl w:val="0FA022DB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3B13A9"/>
    <w:multiLevelType w:val="multilevel"/>
    <w:tmpl w:val="2C3B13A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427A3C"/>
    <w:multiLevelType w:val="multilevel"/>
    <w:tmpl w:val="34427A3C"/>
    <w:lvl w:ilvl="0" w:tentative="0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B58"/>
    <w:rsid w:val="004460E4"/>
    <w:rsid w:val="004654B0"/>
    <w:rsid w:val="0048726B"/>
    <w:rsid w:val="00727A55"/>
    <w:rsid w:val="007473DA"/>
    <w:rsid w:val="007776A5"/>
    <w:rsid w:val="007D007D"/>
    <w:rsid w:val="00A64902"/>
    <w:rsid w:val="00A97AFC"/>
    <w:rsid w:val="00AC7FC7"/>
    <w:rsid w:val="00DD3039"/>
    <w:rsid w:val="00E57140"/>
    <w:rsid w:val="00E67213"/>
    <w:rsid w:val="00E74B58"/>
    <w:rsid w:val="01E920D0"/>
    <w:rsid w:val="26847E53"/>
    <w:rsid w:val="29705883"/>
    <w:rsid w:val="582D66A4"/>
    <w:rsid w:val="5D817906"/>
    <w:rsid w:val="72A7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1"/>
    <w:qFormat/>
    <w:uiPriority w:val="0"/>
    <w:pPr>
      <w:spacing w:line="480" w:lineRule="exact"/>
    </w:pPr>
    <w:rPr>
      <w:rFonts w:ascii="宋体" w:hAnsi="Courier New" w:eastAsia="宋体"/>
      <w:sz w:val="28"/>
    </w:rPr>
  </w:style>
  <w:style w:type="character" w:customStyle="1" w:styleId="7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标题 2 Char"/>
    <w:basedOn w:val="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纯文本 Char"/>
    <w:basedOn w:val="5"/>
    <w:link w:val="4"/>
    <w:qFormat/>
    <w:locked/>
    <w:uiPriority w:val="0"/>
    <w:rPr>
      <w:rFonts w:ascii="宋体" w:hAnsi="Courier New" w:eastAsia="宋体"/>
      <w:sz w:val="28"/>
    </w:rPr>
  </w:style>
  <w:style w:type="character" w:customStyle="1" w:styleId="11">
    <w:name w:val="纯文本 Char1"/>
    <w:basedOn w:val="5"/>
    <w:link w:val="4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2">
    <w:name w:val="报告正文"/>
    <w:basedOn w:val="1"/>
    <w:link w:val="13"/>
    <w:qFormat/>
    <w:uiPriority w:val="0"/>
    <w:pPr>
      <w:tabs>
        <w:tab w:val="left" w:pos="0"/>
      </w:tabs>
      <w:spacing w:line="360" w:lineRule="auto"/>
      <w:ind w:firstLine="200" w:firstLineChars="200"/>
    </w:pPr>
    <w:rPr>
      <w:rFonts w:ascii="Times New Roman" w:hAnsi="Times New Roman" w:eastAsia="宋体" w:cs="Times New Roman"/>
      <w:color w:val="000000"/>
      <w:sz w:val="24"/>
      <w:szCs w:val="24"/>
    </w:rPr>
  </w:style>
  <w:style w:type="character" w:customStyle="1" w:styleId="13">
    <w:name w:val="报告正文 Char Char"/>
    <w:link w:val="12"/>
    <w:qFormat/>
    <w:uiPriority w:val="0"/>
    <w:rPr>
      <w:rFonts w:ascii="Times New Roman" w:hAnsi="Times New Roman" w:eastAsia="宋体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993</Words>
  <Characters>5666</Characters>
  <Lines>47</Lines>
  <Paragraphs>13</Paragraphs>
  <ScaleCrop>false</ScaleCrop>
  <LinksUpToDate>false</LinksUpToDate>
  <CharactersWithSpaces>6646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2018-02-25T00:26:00Z</dcterms:created>
  <dc:creator>computer</dc:creator>
  <cp:lastModifiedBy>user7</cp:lastModifiedBy>
  <dcterms:modified xsi:type="dcterms:W3CDTF">2018-04-11T03:29:08Z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